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B637C">
      <w:pPr>
        <w:wordWrap w:val="0"/>
        <w:spacing w:before="0" w:after="0" w:line="235" w:lineRule="auto"/>
        <w:jc w:val="both"/>
        <w:rPr>
          <w:rFonts w:hint="eastAsia" w:ascii="宋体" w:hAnsi="宋体" w:eastAsia="宋体"/>
          <w:b/>
          <w:color w:val="000000"/>
          <w:sz w:val="31"/>
        </w:rPr>
      </w:pPr>
      <w:r>
        <w:rPr>
          <w:rFonts w:hint="eastAsia" w:ascii="仿宋" w:hAnsi="仿宋" w:eastAsia="仿宋"/>
          <w:sz w:val="32"/>
          <w:szCs w:val="32"/>
          <w:lang w:val="en-US" w:eastAsia="zh-CN"/>
        </w:rPr>
        <w:t xml:space="preserve">           </w:t>
      </w:r>
      <w:r>
        <w:rPr>
          <w:rFonts w:hint="eastAsia" w:ascii="宋体" w:hAnsi="宋体" w:eastAsia="宋体"/>
          <w:b/>
          <w:color w:val="000000"/>
          <w:sz w:val="31"/>
        </w:rPr>
        <w:t>中医治未病健康管理系统维保服务项目需求表</w:t>
      </w:r>
    </w:p>
    <w:p w14:paraId="63EC5661">
      <w:pPr>
        <w:wordWrap w:val="0"/>
        <w:spacing w:before="0" w:after="0" w:line="235" w:lineRule="auto"/>
        <w:jc w:val="both"/>
        <w:rPr>
          <w:rFonts w:hint="eastAsia" w:ascii="宋体" w:hAnsi="宋体" w:eastAsia="宋体"/>
          <w:b/>
          <w:color w:val="000000"/>
          <w:sz w:val="31"/>
          <w:lang w:val="en-US" w:eastAsia="zh-CN"/>
        </w:rPr>
      </w:pPr>
    </w:p>
    <w:p w14:paraId="234454D8">
      <w:pPr>
        <w:wordWrap w:val="0"/>
        <w:spacing w:before="0" w:after="0" w:line="235" w:lineRule="auto"/>
        <w:jc w:val="both"/>
        <w:rPr>
          <w:rFonts w:hint="eastAsia" w:ascii="宋体" w:hAnsi="宋体" w:eastAsia="宋体"/>
          <w:b/>
          <w:color w:val="000000"/>
          <w:sz w:val="31"/>
          <w:lang w:val="en-US" w:eastAsia="zh-CN"/>
        </w:rPr>
      </w:pPr>
      <w:r>
        <w:rPr>
          <w:rFonts w:hint="eastAsia" w:ascii="宋体" w:hAnsi="宋体" w:eastAsia="宋体"/>
          <w:b/>
          <w:color w:val="000000"/>
          <w:sz w:val="31"/>
          <w:lang w:val="en-US" w:eastAsia="zh-CN"/>
        </w:rPr>
        <w:t>一、服务事项及服务内容</w:t>
      </w:r>
    </w:p>
    <w:p w14:paraId="37EEA4EC">
      <w:pPr>
        <w:wordWrap w:val="0"/>
        <w:spacing w:before="0" w:after="0" w:line="383" w:lineRule="auto"/>
        <w:ind w:firstLine="0"/>
        <w:jc w:val="both"/>
        <w:rPr>
          <w:rFonts w:hint="eastAsia" w:ascii="宋体" w:hAnsi="宋体" w:eastAsia="宋体"/>
          <w:color w:val="000000"/>
          <w:sz w:val="12"/>
        </w:rPr>
      </w:pPr>
    </w:p>
    <w:tbl>
      <w:tblPr>
        <w:tblStyle w:val="5"/>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900"/>
        <w:gridCol w:w="1760"/>
        <w:gridCol w:w="7220"/>
      </w:tblGrid>
      <w:tr w14:paraId="3EA3A7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top"/>
          </w:tcPr>
          <w:p w14:paraId="5B05BC26">
            <w:pPr>
              <w:spacing w:before="53" w:after="0" w:line="360" w:lineRule="auto"/>
              <w:jc w:val="both"/>
              <w:rPr>
                <w:sz w:val="25"/>
              </w:rPr>
            </w:pPr>
            <w:r>
              <w:rPr>
                <w:rFonts w:hint="eastAsia" w:ascii="宋体" w:hAnsi="宋体" w:eastAsia="宋体"/>
                <w:color w:val="000000"/>
                <w:sz w:val="25"/>
              </w:rPr>
              <w:t>序号</w:t>
            </w:r>
          </w:p>
        </w:tc>
        <w:tc>
          <w:tcPr>
            <w:tcW w:w="1760" w:type="dxa"/>
            <w:tcBorders>
              <w:top w:val="single" w:color="000000" w:sz="4" w:space="0"/>
              <w:left w:val="single" w:color="000000" w:sz="4" w:space="0"/>
              <w:bottom w:val="single" w:color="000000" w:sz="4" w:space="0"/>
              <w:right w:val="single" w:color="000000" w:sz="4" w:space="0"/>
            </w:tcBorders>
            <w:vAlign w:val="top"/>
          </w:tcPr>
          <w:p w14:paraId="3003D74A">
            <w:pPr>
              <w:spacing w:before="53" w:after="0" w:line="360" w:lineRule="auto"/>
              <w:jc w:val="both"/>
              <w:rPr>
                <w:sz w:val="25"/>
              </w:rPr>
            </w:pPr>
            <w:r>
              <w:rPr>
                <w:rFonts w:hint="eastAsia" w:ascii="宋体" w:hAnsi="宋体" w:eastAsia="宋体"/>
                <w:color w:val="000000"/>
                <w:sz w:val="25"/>
              </w:rPr>
              <w:t>服务事项</w:t>
            </w:r>
          </w:p>
        </w:tc>
        <w:tc>
          <w:tcPr>
            <w:tcW w:w="7220" w:type="dxa"/>
            <w:tcBorders>
              <w:top w:val="single" w:color="000000" w:sz="4" w:space="0"/>
              <w:left w:val="single" w:color="000000" w:sz="4" w:space="0"/>
              <w:bottom w:val="single" w:color="000000" w:sz="4" w:space="0"/>
              <w:right w:val="single" w:color="000000" w:sz="4" w:space="0"/>
            </w:tcBorders>
            <w:vAlign w:val="top"/>
          </w:tcPr>
          <w:p w14:paraId="710E1468">
            <w:pPr>
              <w:spacing w:before="0" w:after="0" w:line="211" w:lineRule="auto"/>
              <w:ind w:firstLine="3045"/>
              <w:jc w:val="both"/>
              <w:rPr>
                <w:sz w:val="31"/>
              </w:rPr>
            </w:pPr>
            <w:r>
              <w:rPr>
                <w:rFonts w:hint="eastAsia" w:ascii="宋体" w:hAnsi="宋体" w:eastAsia="宋体"/>
                <w:color w:val="000000"/>
                <w:sz w:val="31"/>
              </w:rPr>
              <w:t>服务内容</w:t>
            </w:r>
          </w:p>
        </w:tc>
      </w:tr>
      <w:tr w14:paraId="6652825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80" w:hRule="atLeast"/>
        </w:trPr>
        <w:tc>
          <w:tcPr>
            <w:tcW w:w="900" w:type="dxa"/>
            <w:tcBorders>
              <w:top w:val="single" w:color="000000" w:sz="4" w:space="0"/>
              <w:left w:val="single" w:color="000000" w:sz="4" w:space="0"/>
              <w:bottom w:val="single" w:color="000000" w:sz="4" w:space="0"/>
              <w:right w:val="single" w:color="000000" w:sz="4" w:space="0"/>
            </w:tcBorders>
            <w:vAlign w:val="top"/>
          </w:tcPr>
          <w:p w14:paraId="6EE67B2E">
            <w:pPr>
              <w:wordWrap w:val="0"/>
              <w:spacing w:before="0" w:after="0" w:line="360" w:lineRule="auto"/>
              <w:ind w:firstLine="0"/>
              <w:jc w:val="both"/>
              <w:rPr>
                <w:rFonts w:hint="eastAsia" w:ascii="宋体" w:hAnsi="宋体" w:eastAsia="宋体"/>
                <w:color w:val="000000"/>
                <w:sz w:val="25"/>
              </w:rPr>
            </w:pPr>
          </w:p>
          <w:p w14:paraId="01F6D49D">
            <w:pPr>
              <w:spacing w:before="12" w:after="0" w:line="360" w:lineRule="auto"/>
              <w:jc w:val="center"/>
              <w:rPr>
                <w:sz w:val="25"/>
              </w:rPr>
            </w:pPr>
            <w:r>
              <w:rPr>
                <w:rFonts w:hint="eastAsia" w:ascii="Calibri" w:hAnsi="Calibri" w:eastAsia="Calibri"/>
                <w:color w:val="000000"/>
                <w:sz w:val="25"/>
              </w:rPr>
              <w:t>1</w:t>
            </w:r>
          </w:p>
        </w:tc>
        <w:tc>
          <w:tcPr>
            <w:tcW w:w="1760" w:type="dxa"/>
            <w:tcBorders>
              <w:top w:val="single" w:color="000000" w:sz="4" w:space="0"/>
              <w:left w:val="single" w:color="000000" w:sz="4" w:space="0"/>
              <w:bottom w:val="single" w:color="000000" w:sz="4" w:space="0"/>
              <w:right w:val="single" w:color="000000" w:sz="4" w:space="0"/>
            </w:tcBorders>
            <w:vAlign w:val="top"/>
          </w:tcPr>
          <w:p w14:paraId="2B1849BD">
            <w:pPr>
              <w:wordWrap w:val="0"/>
              <w:spacing w:before="0" w:after="0" w:line="360" w:lineRule="auto"/>
              <w:ind w:firstLine="0"/>
              <w:jc w:val="both"/>
              <w:rPr>
                <w:rFonts w:hint="eastAsia" w:ascii="宋体" w:hAnsi="宋体" w:eastAsia="宋体"/>
                <w:color w:val="000000"/>
                <w:sz w:val="25"/>
              </w:rPr>
            </w:pPr>
          </w:p>
          <w:p w14:paraId="0F35E7D7">
            <w:pPr>
              <w:spacing w:before="0" w:after="0" w:line="206" w:lineRule="auto"/>
              <w:jc w:val="center"/>
              <w:rPr>
                <w:sz w:val="25"/>
              </w:rPr>
            </w:pPr>
            <w:r>
              <w:rPr>
                <w:rFonts w:hint="eastAsia" w:ascii="宋体" w:hAnsi="宋体" w:eastAsia="宋体"/>
                <w:color w:val="000000"/>
                <w:sz w:val="25"/>
              </w:rPr>
              <w:t>应用运维</w:t>
            </w:r>
          </w:p>
        </w:tc>
        <w:tc>
          <w:tcPr>
            <w:tcW w:w="7220" w:type="dxa"/>
            <w:tcBorders>
              <w:top w:val="single" w:color="000000" w:sz="4" w:space="0"/>
              <w:left w:val="single" w:color="000000" w:sz="4" w:space="0"/>
              <w:bottom w:val="single" w:color="000000" w:sz="4" w:space="0"/>
              <w:right w:val="single" w:color="000000" w:sz="4" w:space="0"/>
            </w:tcBorders>
            <w:vAlign w:val="top"/>
          </w:tcPr>
          <w:p w14:paraId="03DBD573">
            <w:pPr>
              <w:spacing w:before="19" w:after="0" w:line="360" w:lineRule="auto"/>
              <w:ind w:left="125" w:right="80" w:firstLine="520"/>
              <w:jc w:val="both"/>
              <w:rPr>
                <w:sz w:val="25"/>
              </w:rPr>
            </w:pPr>
            <w:r>
              <w:rPr>
                <w:rFonts w:hint="eastAsia" w:ascii="宋体" w:hAnsi="宋体" w:eastAsia="宋体"/>
                <w:color w:val="000000"/>
                <w:sz w:val="25"/>
              </w:rPr>
              <w:t>熟悉现用中医治未病健康管理系统的业务流程和所有功能模块应用场景，提供现用中医治未病健康管理系统软件升级服务、系统日常故障排除。</w:t>
            </w:r>
          </w:p>
        </w:tc>
      </w:tr>
      <w:tr w14:paraId="7C5C71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900" w:type="dxa"/>
            <w:tcBorders>
              <w:top w:val="single" w:color="000000" w:sz="4" w:space="0"/>
              <w:left w:val="single" w:color="000000" w:sz="4" w:space="0"/>
              <w:bottom w:val="single" w:color="000000" w:sz="4" w:space="0"/>
              <w:right w:val="single" w:color="000000" w:sz="4" w:space="0"/>
            </w:tcBorders>
            <w:vAlign w:val="top"/>
          </w:tcPr>
          <w:p w14:paraId="6805BBE8">
            <w:pPr>
              <w:spacing w:before="256" w:after="0" w:line="360" w:lineRule="auto"/>
              <w:jc w:val="center"/>
              <w:rPr>
                <w:sz w:val="25"/>
              </w:rPr>
            </w:pPr>
            <w:r>
              <w:rPr>
                <w:rFonts w:hint="eastAsia" w:ascii="Calibri" w:hAnsi="Calibri" w:eastAsia="Calibri"/>
                <w:color w:val="000000"/>
                <w:sz w:val="25"/>
              </w:rPr>
              <w:t>2</w:t>
            </w:r>
          </w:p>
        </w:tc>
        <w:tc>
          <w:tcPr>
            <w:tcW w:w="1760" w:type="dxa"/>
            <w:tcBorders>
              <w:top w:val="single" w:color="000000" w:sz="4" w:space="0"/>
              <w:left w:val="single" w:color="000000" w:sz="4" w:space="0"/>
              <w:bottom w:val="single" w:color="000000" w:sz="4" w:space="0"/>
              <w:right w:val="single" w:color="000000" w:sz="4" w:space="0"/>
            </w:tcBorders>
            <w:vAlign w:val="top"/>
          </w:tcPr>
          <w:p w14:paraId="581A5A62">
            <w:pPr>
              <w:spacing w:before="209" w:after="0" w:line="360" w:lineRule="auto"/>
              <w:jc w:val="center"/>
              <w:rPr>
                <w:sz w:val="25"/>
              </w:rPr>
            </w:pPr>
            <w:r>
              <w:rPr>
                <w:rFonts w:hint="eastAsia" w:ascii="宋体" w:hAnsi="宋体" w:eastAsia="宋体"/>
                <w:color w:val="000000"/>
                <w:sz w:val="25"/>
              </w:rPr>
              <w:t>数据运维</w:t>
            </w:r>
          </w:p>
        </w:tc>
        <w:tc>
          <w:tcPr>
            <w:tcW w:w="7220" w:type="dxa"/>
            <w:tcBorders>
              <w:top w:val="single" w:color="000000" w:sz="4" w:space="0"/>
              <w:left w:val="single" w:color="000000" w:sz="4" w:space="0"/>
              <w:bottom w:val="single" w:color="000000" w:sz="4" w:space="0"/>
              <w:right w:val="single" w:color="000000" w:sz="4" w:space="0"/>
            </w:tcBorders>
            <w:vAlign w:val="top"/>
          </w:tcPr>
          <w:p w14:paraId="1A1E5FFC">
            <w:pPr>
              <w:spacing w:before="0" w:after="0" w:line="292" w:lineRule="auto"/>
              <w:ind w:left="145" w:right="80" w:firstLine="500"/>
              <w:jc w:val="both"/>
              <w:rPr>
                <w:sz w:val="25"/>
              </w:rPr>
            </w:pPr>
            <w:r>
              <w:rPr>
                <w:rFonts w:hint="eastAsia" w:ascii="宋体" w:hAnsi="宋体" w:eastAsia="宋体"/>
                <w:color w:val="000000"/>
                <w:sz w:val="25"/>
              </w:rPr>
              <w:t>熟悉现用中医治未病健康管理系统数据结构，确保现用报表正常运行和数据完整性及准确性，确保按时、按要求完成。</w:t>
            </w:r>
          </w:p>
        </w:tc>
      </w:tr>
      <w:tr w14:paraId="370A952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00" w:hRule="atLeast"/>
        </w:trPr>
        <w:tc>
          <w:tcPr>
            <w:tcW w:w="900" w:type="dxa"/>
            <w:tcBorders>
              <w:top w:val="single" w:color="000000" w:sz="4" w:space="0"/>
              <w:left w:val="single" w:color="000000" w:sz="4" w:space="0"/>
              <w:bottom w:val="single" w:color="000000" w:sz="4" w:space="0"/>
              <w:right w:val="single" w:color="000000" w:sz="4" w:space="0"/>
            </w:tcBorders>
            <w:vAlign w:val="top"/>
          </w:tcPr>
          <w:p w14:paraId="7F8F5D30">
            <w:pPr>
              <w:wordWrap w:val="0"/>
              <w:spacing w:before="0" w:after="0" w:line="360" w:lineRule="auto"/>
              <w:ind w:firstLine="0"/>
              <w:jc w:val="both"/>
              <w:rPr>
                <w:rFonts w:hint="eastAsia" w:ascii="宋体" w:hAnsi="宋体" w:eastAsia="宋体"/>
                <w:color w:val="000000"/>
                <w:sz w:val="25"/>
              </w:rPr>
            </w:pPr>
          </w:p>
          <w:p w14:paraId="047D5318">
            <w:pPr>
              <w:spacing w:before="0" w:after="0" w:line="201" w:lineRule="auto"/>
              <w:jc w:val="center"/>
              <w:rPr>
                <w:sz w:val="25"/>
              </w:rPr>
            </w:pPr>
            <w:r>
              <w:rPr>
                <w:rFonts w:hint="eastAsia" w:ascii="Calibri" w:hAnsi="Calibri" w:eastAsia="Calibri"/>
                <w:color w:val="000000"/>
                <w:sz w:val="25"/>
              </w:rPr>
              <w:t>3</w:t>
            </w:r>
          </w:p>
        </w:tc>
        <w:tc>
          <w:tcPr>
            <w:tcW w:w="1760" w:type="dxa"/>
            <w:tcBorders>
              <w:top w:val="single" w:color="000000" w:sz="4" w:space="0"/>
              <w:left w:val="single" w:color="000000" w:sz="4" w:space="0"/>
              <w:bottom w:val="single" w:color="000000" w:sz="4" w:space="0"/>
              <w:right w:val="single" w:color="000000" w:sz="4" w:space="0"/>
            </w:tcBorders>
            <w:vAlign w:val="top"/>
          </w:tcPr>
          <w:p w14:paraId="24977FAA">
            <w:pPr>
              <w:wordWrap w:val="0"/>
              <w:spacing w:before="0" w:after="0" w:line="360" w:lineRule="auto"/>
              <w:ind w:firstLine="0"/>
              <w:jc w:val="both"/>
              <w:rPr>
                <w:rFonts w:hint="eastAsia" w:ascii="宋体" w:hAnsi="宋体" w:eastAsia="宋体"/>
                <w:color w:val="000000"/>
                <w:sz w:val="25"/>
              </w:rPr>
            </w:pPr>
          </w:p>
          <w:p w14:paraId="3EE338FB">
            <w:pPr>
              <w:spacing w:before="0" w:after="0" w:line="235" w:lineRule="auto"/>
              <w:jc w:val="center"/>
              <w:rPr>
                <w:sz w:val="25"/>
              </w:rPr>
            </w:pPr>
            <w:r>
              <w:rPr>
                <w:rFonts w:hint="eastAsia" w:ascii="宋体" w:hAnsi="宋体" w:eastAsia="宋体"/>
                <w:color w:val="000000"/>
                <w:sz w:val="25"/>
              </w:rPr>
              <w:t>服务器运维</w:t>
            </w:r>
          </w:p>
        </w:tc>
        <w:tc>
          <w:tcPr>
            <w:tcW w:w="7220" w:type="dxa"/>
            <w:tcBorders>
              <w:top w:val="single" w:color="000000" w:sz="4" w:space="0"/>
              <w:left w:val="single" w:color="000000" w:sz="4" w:space="0"/>
              <w:bottom w:val="single" w:color="000000" w:sz="4" w:space="0"/>
              <w:right w:val="single" w:color="000000" w:sz="4" w:space="0"/>
            </w:tcBorders>
            <w:vAlign w:val="top"/>
          </w:tcPr>
          <w:p w14:paraId="0F5B8C29">
            <w:pPr>
              <w:spacing w:before="34" w:after="0" w:line="360" w:lineRule="auto"/>
              <w:ind w:left="125" w:right="80" w:firstLine="520"/>
              <w:jc w:val="both"/>
              <w:rPr>
                <w:sz w:val="25"/>
              </w:rPr>
            </w:pPr>
            <w:r>
              <w:rPr>
                <w:rFonts w:hint="eastAsia" w:ascii="宋体" w:hAnsi="宋体" w:eastAsia="宋体"/>
                <w:color w:val="000000"/>
                <w:sz w:val="25"/>
              </w:rPr>
              <w:t>定期对服务器进行安全检查，保障服务器的正常运行，配合医院进行服务器搬迁、服务紧急恢复、补丁修复服务器操作系统漏洞等。</w:t>
            </w:r>
          </w:p>
        </w:tc>
      </w:tr>
      <w:tr w14:paraId="585FE8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900" w:type="dxa"/>
            <w:tcBorders>
              <w:top w:val="single" w:color="000000" w:sz="4" w:space="0"/>
              <w:left w:val="single" w:color="000000" w:sz="4" w:space="0"/>
              <w:bottom w:val="single" w:color="000000" w:sz="4" w:space="0"/>
              <w:right w:val="single" w:color="000000" w:sz="4" w:space="0"/>
            </w:tcBorders>
            <w:vAlign w:val="top"/>
          </w:tcPr>
          <w:p w14:paraId="40065D3E">
            <w:pPr>
              <w:spacing w:before="230" w:after="0" w:line="360" w:lineRule="auto"/>
              <w:jc w:val="center"/>
              <w:rPr>
                <w:sz w:val="25"/>
              </w:rPr>
            </w:pPr>
            <w:r>
              <w:rPr>
                <w:rFonts w:hint="eastAsia" w:ascii="Calibri" w:hAnsi="Calibri" w:eastAsia="Calibri"/>
                <w:color w:val="000000"/>
                <w:sz w:val="25"/>
              </w:rPr>
              <w:t>4</w:t>
            </w:r>
          </w:p>
        </w:tc>
        <w:tc>
          <w:tcPr>
            <w:tcW w:w="1760" w:type="dxa"/>
            <w:tcBorders>
              <w:top w:val="single" w:color="000000" w:sz="4" w:space="0"/>
              <w:left w:val="single" w:color="000000" w:sz="4" w:space="0"/>
              <w:bottom w:val="single" w:color="000000" w:sz="4" w:space="0"/>
              <w:right w:val="single" w:color="000000" w:sz="4" w:space="0"/>
            </w:tcBorders>
            <w:vAlign w:val="top"/>
          </w:tcPr>
          <w:p w14:paraId="4F7EF760">
            <w:pPr>
              <w:spacing w:before="223" w:after="0" w:line="360" w:lineRule="auto"/>
              <w:jc w:val="center"/>
              <w:rPr>
                <w:sz w:val="25"/>
              </w:rPr>
            </w:pPr>
            <w:r>
              <w:rPr>
                <w:rFonts w:hint="eastAsia" w:ascii="宋体" w:hAnsi="宋体" w:eastAsia="宋体"/>
                <w:color w:val="000000"/>
                <w:sz w:val="25"/>
              </w:rPr>
              <w:t>巡检</w:t>
            </w:r>
          </w:p>
        </w:tc>
        <w:tc>
          <w:tcPr>
            <w:tcW w:w="7220" w:type="dxa"/>
            <w:tcBorders>
              <w:top w:val="single" w:color="000000" w:sz="4" w:space="0"/>
              <w:left w:val="single" w:color="000000" w:sz="4" w:space="0"/>
              <w:bottom w:val="single" w:color="000000" w:sz="4" w:space="0"/>
              <w:right w:val="single" w:color="000000" w:sz="4" w:space="0"/>
            </w:tcBorders>
            <w:vAlign w:val="top"/>
          </w:tcPr>
          <w:p w14:paraId="5BE48B45">
            <w:pPr>
              <w:spacing w:before="0" w:after="0" w:line="201" w:lineRule="auto"/>
              <w:ind w:left="125" w:right="100" w:firstLine="520"/>
              <w:jc w:val="both"/>
              <w:rPr>
                <w:sz w:val="25"/>
              </w:rPr>
            </w:pPr>
            <w:r>
              <w:rPr>
                <w:rFonts w:hint="eastAsia" w:ascii="宋体" w:hAnsi="宋体" w:eastAsia="宋体"/>
                <w:color w:val="000000"/>
                <w:sz w:val="25"/>
              </w:rPr>
              <w:t>对医院中医治未病健康管理系统相关的服务器、网络、软件、接口等开展一年两次的巡检服务，巡检完成提供相应记录单。</w:t>
            </w:r>
          </w:p>
        </w:tc>
      </w:tr>
      <w:tr w14:paraId="53633A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20" w:hRule="atLeast"/>
        </w:trPr>
        <w:tc>
          <w:tcPr>
            <w:tcW w:w="900" w:type="dxa"/>
            <w:tcBorders>
              <w:top w:val="single" w:color="000000" w:sz="4" w:space="0"/>
              <w:left w:val="single" w:color="000000" w:sz="4" w:space="0"/>
              <w:bottom w:val="single" w:color="000000" w:sz="4" w:space="0"/>
              <w:right w:val="single" w:color="000000" w:sz="4" w:space="0"/>
            </w:tcBorders>
            <w:vAlign w:val="top"/>
          </w:tcPr>
          <w:p w14:paraId="492005D3">
            <w:pPr>
              <w:wordWrap w:val="0"/>
              <w:spacing w:before="0" w:after="0" w:line="360" w:lineRule="auto"/>
              <w:ind w:firstLine="0"/>
              <w:jc w:val="both"/>
              <w:rPr>
                <w:rFonts w:hint="eastAsia" w:ascii="宋体" w:hAnsi="宋体" w:eastAsia="宋体"/>
                <w:color w:val="000000"/>
                <w:sz w:val="25"/>
              </w:rPr>
            </w:pPr>
          </w:p>
          <w:p w14:paraId="385AB3D9">
            <w:pPr>
              <w:spacing w:before="2" w:after="0" w:line="360" w:lineRule="auto"/>
              <w:jc w:val="center"/>
              <w:rPr>
                <w:sz w:val="25"/>
              </w:rPr>
            </w:pPr>
            <w:r>
              <w:rPr>
                <w:rFonts w:hint="eastAsia" w:ascii="Calibri" w:hAnsi="Calibri" w:eastAsia="Calibri"/>
                <w:color w:val="000000"/>
                <w:sz w:val="25"/>
              </w:rPr>
              <w:t>5</w:t>
            </w:r>
          </w:p>
        </w:tc>
        <w:tc>
          <w:tcPr>
            <w:tcW w:w="1760" w:type="dxa"/>
            <w:tcBorders>
              <w:top w:val="single" w:color="000000" w:sz="4" w:space="0"/>
              <w:left w:val="single" w:color="000000" w:sz="4" w:space="0"/>
              <w:bottom w:val="single" w:color="000000" w:sz="4" w:space="0"/>
              <w:right w:val="single" w:color="000000" w:sz="4" w:space="0"/>
            </w:tcBorders>
            <w:vAlign w:val="top"/>
          </w:tcPr>
          <w:p w14:paraId="016D3244">
            <w:pPr>
              <w:wordWrap w:val="0"/>
              <w:spacing w:before="0" w:after="0" w:line="360" w:lineRule="auto"/>
              <w:ind w:firstLine="0"/>
              <w:jc w:val="both"/>
              <w:rPr>
                <w:rFonts w:hint="eastAsia" w:ascii="宋体" w:hAnsi="宋体" w:eastAsia="宋体"/>
                <w:color w:val="000000"/>
                <w:sz w:val="25"/>
              </w:rPr>
            </w:pPr>
          </w:p>
          <w:p w14:paraId="160EBA01">
            <w:pPr>
              <w:spacing w:before="0" w:after="0" w:line="220" w:lineRule="auto"/>
              <w:jc w:val="center"/>
              <w:rPr>
                <w:sz w:val="25"/>
              </w:rPr>
            </w:pPr>
            <w:r>
              <w:rPr>
                <w:rFonts w:hint="eastAsia" w:ascii="宋体" w:hAnsi="宋体" w:eastAsia="宋体"/>
                <w:color w:val="000000"/>
                <w:sz w:val="25"/>
              </w:rPr>
              <w:t>安全整改</w:t>
            </w:r>
          </w:p>
        </w:tc>
        <w:tc>
          <w:tcPr>
            <w:tcW w:w="7220" w:type="dxa"/>
            <w:tcBorders>
              <w:top w:val="single" w:color="000000" w:sz="4" w:space="0"/>
              <w:left w:val="single" w:color="000000" w:sz="4" w:space="0"/>
              <w:bottom w:val="single" w:color="000000" w:sz="4" w:space="0"/>
              <w:right w:val="single" w:color="000000" w:sz="4" w:space="0"/>
            </w:tcBorders>
            <w:vAlign w:val="top"/>
          </w:tcPr>
          <w:p w14:paraId="73D5D2E0">
            <w:pPr>
              <w:spacing w:before="48" w:after="0" w:line="360" w:lineRule="auto"/>
              <w:ind w:left="125" w:right="80" w:firstLine="520"/>
              <w:jc w:val="both"/>
              <w:rPr>
                <w:sz w:val="25"/>
              </w:rPr>
            </w:pPr>
            <w:r>
              <w:rPr>
                <w:rFonts w:hint="eastAsia" w:ascii="宋体" w:hAnsi="宋体" w:eastAsia="宋体"/>
                <w:color w:val="000000"/>
                <w:sz w:val="25"/>
              </w:rPr>
              <w:t>配合单位利用漏洞扫描工具、人工渗透测试以及国家漏洞库最新漏洞通报等手段，持续进行漏洞监测和恢复工作，并根据需求进行整改。</w:t>
            </w:r>
          </w:p>
        </w:tc>
      </w:tr>
      <w:tr w14:paraId="0E5F48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80" w:hRule="atLeast"/>
        </w:trPr>
        <w:tc>
          <w:tcPr>
            <w:tcW w:w="900" w:type="dxa"/>
            <w:tcBorders>
              <w:top w:val="single" w:color="000000" w:sz="4" w:space="0"/>
              <w:left w:val="single" w:color="000000" w:sz="4" w:space="0"/>
              <w:bottom w:val="single" w:color="000000" w:sz="4" w:space="0"/>
              <w:right w:val="single" w:color="000000" w:sz="4" w:space="0"/>
            </w:tcBorders>
            <w:vAlign w:val="top"/>
          </w:tcPr>
          <w:p w14:paraId="7306100F">
            <w:pPr>
              <w:wordWrap w:val="0"/>
              <w:spacing w:before="0" w:after="0" w:line="360" w:lineRule="auto"/>
              <w:ind w:firstLine="0"/>
              <w:jc w:val="both"/>
              <w:rPr>
                <w:rFonts w:hint="eastAsia" w:ascii="宋体" w:hAnsi="宋体" w:eastAsia="宋体"/>
                <w:color w:val="000000"/>
                <w:sz w:val="25"/>
              </w:rPr>
            </w:pPr>
          </w:p>
          <w:p w14:paraId="2E1CD846">
            <w:pPr>
              <w:spacing w:before="198" w:after="0" w:line="360" w:lineRule="auto"/>
              <w:jc w:val="center"/>
              <w:rPr>
                <w:sz w:val="25"/>
              </w:rPr>
            </w:pPr>
            <w:r>
              <w:rPr>
                <w:rFonts w:hint="eastAsia" w:ascii="Calibri" w:hAnsi="Calibri" w:eastAsia="Calibri"/>
                <w:color w:val="000000"/>
                <w:sz w:val="25"/>
              </w:rPr>
              <w:t>6</w:t>
            </w:r>
          </w:p>
        </w:tc>
        <w:tc>
          <w:tcPr>
            <w:tcW w:w="1760" w:type="dxa"/>
            <w:tcBorders>
              <w:top w:val="single" w:color="000000" w:sz="4" w:space="0"/>
              <w:left w:val="single" w:color="000000" w:sz="4" w:space="0"/>
              <w:bottom w:val="single" w:color="000000" w:sz="4" w:space="0"/>
              <w:right w:val="single" w:color="000000" w:sz="4" w:space="0"/>
            </w:tcBorders>
            <w:vAlign w:val="top"/>
          </w:tcPr>
          <w:p w14:paraId="64060212">
            <w:pPr>
              <w:wordWrap w:val="0"/>
              <w:spacing w:before="0" w:after="0" w:line="360" w:lineRule="auto"/>
              <w:ind w:firstLine="0"/>
              <w:jc w:val="both"/>
              <w:rPr>
                <w:rFonts w:hint="eastAsia" w:ascii="宋体" w:hAnsi="宋体" w:eastAsia="宋体"/>
                <w:color w:val="000000"/>
                <w:sz w:val="25"/>
              </w:rPr>
            </w:pPr>
          </w:p>
          <w:p w14:paraId="4A7E1DD9">
            <w:pPr>
              <w:spacing w:before="171" w:after="0" w:line="360" w:lineRule="auto"/>
              <w:jc w:val="center"/>
              <w:rPr>
                <w:sz w:val="25"/>
              </w:rPr>
            </w:pPr>
            <w:r>
              <w:rPr>
                <w:rFonts w:hint="eastAsia" w:ascii="宋体" w:hAnsi="宋体" w:eastAsia="宋体"/>
                <w:color w:val="000000"/>
                <w:sz w:val="25"/>
              </w:rPr>
              <w:t>测评整改</w:t>
            </w:r>
          </w:p>
        </w:tc>
        <w:tc>
          <w:tcPr>
            <w:tcW w:w="7220" w:type="dxa"/>
            <w:tcBorders>
              <w:top w:val="single" w:color="000000" w:sz="4" w:space="0"/>
              <w:left w:val="single" w:color="000000" w:sz="4" w:space="0"/>
              <w:bottom w:val="single" w:color="000000" w:sz="4" w:space="0"/>
              <w:right w:val="single" w:color="000000" w:sz="4" w:space="0"/>
            </w:tcBorders>
            <w:vAlign w:val="top"/>
          </w:tcPr>
          <w:p w14:paraId="1F9596A0">
            <w:pPr>
              <w:spacing w:before="18" w:after="0" w:line="360" w:lineRule="auto"/>
              <w:ind w:left="125" w:right="80" w:firstLine="520"/>
              <w:jc w:val="both"/>
              <w:rPr>
                <w:sz w:val="25"/>
              </w:rPr>
            </w:pPr>
            <w:r>
              <w:rPr>
                <w:rFonts w:hint="eastAsia" w:ascii="宋体" w:hAnsi="宋体" w:eastAsia="宋体"/>
                <w:color w:val="000000"/>
                <w:sz w:val="25"/>
              </w:rPr>
              <w:t>运维服务商需密切配合医院完成网络安全等级保护和商用密码安全性评估的各项评审工作，并确保整改措施满足国家相关要求。如医院开展国产化、信创改造等工作，运维服务商将无条件提供必要的技术支持和协助。</w:t>
            </w:r>
          </w:p>
        </w:tc>
      </w:tr>
    </w:tbl>
    <w:p w14:paraId="56CD1044">
      <w:pPr>
        <w:spacing w:line="1" w:lineRule="exact"/>
        <w:sectPr>
          <w:footerReference r:id="rId5" w:type="default"/>
          <w:pgSz w:w="11900" w:h="16960"/>
          <w:pgMar w:top="1202" w:right="960" w:bottom="1179" w:left="960" w:header="600" w:footer="1440" w:gutter="0"/>
          <w:paperSrc/>
          <w:pgNumType w:fmt="decimal"/>
          <w:cols w:space="0" w:num="1"/>
          <w:rtlGutter w:val="0"/>
          <w:docGrid w:linePitch="0" w:charSpace="0"/>
        </w:sectPr>
      </w:pPr>
    </w:p>
    <w:p w14:paraId="7A51497B">
      <w:pPr>
        <w:wordWrap w:val="0"/>
        <w:spacing w:before="0" w:after="0" w:line="244" w:lineRule="auto"/>
        <w:ind w:firstLine="20"/>
        <w:jc w:val="both"/>
        <w:rPr>
          <w:sz w:val="30"/>
        </w:rPr>
      </w:pPr>
      <w:r>
        <w:rPr>
          <w:rFonts w:hint="eastAsia" w:ascii="宋体" w:hAnsi="宋体" w:eastAsia="宋体"/>
          <w:b/>
          <w:color w:val="000000"/>
          <w:sz w:val="30"/>
          <w:lang w:eastAsia="zh-CN"/>
        </w:rPr>
        <w:t>二、</w:t>
      </w:r>
      <w:r>
        <w:rPr>
          <w:rFonts w:hint="eastAsia" w:ascii="宋体" w:hAnsi="宋体" w:eastAsia="宋体"/>
          <w:b/>
          <w:color w:val="000000"/>
          <w:sz w:val="30"/>
        </w:rPr>
        <w:t>运维内容</w:t>
      </w:r>
      <w:r>
        <w:drawing>
          <wp:anchor distT="0" distB="0" distL="114300" distR="114300" simplePos="0" relativeHeight="251660288" behindDoc="1" locked="0" layoutInCell="1" allowOverlap="1">
            <wp:simplePos x="0" y="0"/>
            <wp:positionH relativeFrom="page">
              <wp:posOffset>7340600</wp:posOffset>
            </wp:positionH>
            <wp:positionV relativeFrom="page">
              <wp:posOffset>4953000</wp:posOffset>
            </wp:positionV>
            <wp:extent cx="139700" cy="1676400"/>
            <wp:effectExtent l="0" t="0" r="0" b="0"/>
            <wp:wrapNone/>
            <wp:docPr id="20"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AMP"/>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9700" cy="1676400"/>
                    </a:xfrm>
                    <a:prstGeom prst="rect">
                      <a:avLst/>
                    </a:prstGeom>
                  </pic:spPr>
                </pic:pic>
              </a:graphicData>
            </a:graphic>
          </wp:anchor>
        </w:drawing>
      </w:r>
    </w:p>
    <w:p w14:paraId="2699711A">
      <w:pPr>
        <w:wordWrap w:val="0"/>
        <w:spacing w:before="0" w:after="0" w:line="240" w:lineRule="auto"/>
        <w:ind w:firstLine="0"/>
        <w:jc w:val="both"/>
        <w:rPr>
          <w:rFonts w:hint="eastAsia" w:ascii="宋体" w:hAnsi="宋体" w:eastAsia="宋体"/>
          <w:color w:val="000000"/>
          <w:sz w:val="21"/>
        </w:rPr>
      </w:pPr>
    </w:p>
    <w:p w14:paraId="70629B27">
      <w:pPr>
        <w:wordWrap w:val="0"/>
        <w:spacing w:before="0" w:after="0" w:line="206" w:lineRule="auto"/>
        <w:ind w:firstLine="540"/>
        <w:jc w:val="both"/>
        <w:rPr>
          <w:sz w:val="25"/>
        </w:rPr>
      </w:pPr>
      <w:r>
        <w:rPr>
          <w:rFonts w:hint="eastAsia" w:ascii="Calibri" w:hAnsi="Calibri" w:eastAsia="Calibri"/>
          <w:color w:val="000000"/>
          <w:sz w:val="25"/>
        </w:rPr>
        <w:t>1</w:t>
      </w:r>
      <w:r>
        <w:rPr>
          <w:rFonts w:hint="eastAsia" w:ascii="宋体" w:hAnsi="宋体" w:eastAsia="宋体"/>
          <w:color w:val="000000"/>
          <w:sz w:val="25"/>
        </w:rPr>
        <w:t>、远程技术支持服务</w:t>
      </w:r>
    </w:p>
    <w:p w14:paraId="22844C62">
      <w:pPr>
        <w:wordWrap w:val="0"/>
        <w:spacing w:before="132" w:after="0" w:line="360" w:lineRule="auto"/>
        <w:ind w:left="20" w:right="360" w:firstLine="500"/>
        <w:jc w:val="both"/>
        <w:rPr>
          <w:sz w:val="25"/>
        </w:rPr>
      </w:pPr>
      <w:r>
        <w:rPr>
          <w:rFonts w:hint="eastAsia" w:ascii="宋体" w:hAnsi="宋体" w:eastAsia="宋体"/>
          <w:color w:val="000000"/>
          <w:sz w:val="25"/>
        </w:rPr>
        <w:t>乙方将设立技术支持／售后服务热线电话。用户可通过拨打服务热线电话进行故障保修或技术咨询。同时，乙方将提供技术支持中心负责人的手机，该手机</w:t>
      </w:r>
      <w:r>
        <w:rPr>
          <w:rFonts w:hint="eastAsia" w:ascii="Calibri" w:hAnsi="Calibri" w:eastAsia="Calibri"/>
          <w:color w:val="000000"/>
          <w:sz w:val="25"/>
        </w:rPr>
        <w:t>24</w:t>
      </w:r>
      <w:r>
        <w:rPr>
          <w:rFonts w:hint="eastAsia" w:ascii="宋体" w:hAnsi="宋体" w:eastAsia="宋体"/>
          <w:color w:val="000000"/>
          <w:sz w:val="25"/>
        </w:rPr>
        <w:t>小时开机，提供全年</w:t>
      </w:r>
      <w:r>
        <w:rPr>
          <w:rFonts w:hint="eastAsia" w:ascii="Calibri" w:hAnsi="Calibri" w:eastAsia="Calibri"/>
          <w:color w:val="000000"/>
          <w:sz w:val="25"/>
        </w:rPr>
        <w:t>7</w:t>
      </w:r>
      <w:r>
        <w:rPr>
          <w:rFonts w:hint="eastAsia" w:ascii="宋体" w:hAnsi="宋体" w:eastAsia="宋体"/>
          <w:color w:val="000000"/>
          <w:sz w:val="25"/>
        </w:rPr>
        <w:t>＊</w:t>
      </w:r>
      <w:r>
        <w:rPr>
          <w:rFonts w:hint="eastAsia" w:ascii="Calibri" w:hAnsi="Calibri" w:eastAsia="Calibri"/>
          <w:color w:val="000000"/>
          <w:sz w:val="25"/>
        </w:rPr>
        <w:t>24</w:t>
      </w:r>
      <w:r>
        <w:rPr>
          <w:rFonts w:hint="eastAsia" w:ascii="宋体" w:hAnsi="宋体" w:eastAsia="宋体"/>
          <w:color w:val="000000"/>
          <w:sz w:val="25"/>
        </w:rPr>
        <w:t>小时的全天候售后服务。</w:t>
      </w:r>
    </w:p>
    <w:p w14:paraId="619959D0">
      <w:pPr>
        <w:wordWrap w:val="0"/>
        <w:spacing w:before="27" w:after="0" w:line="360" w:lineRule="auto"/>
        <w:ind w:left="40" w:right="360" w:firstLine="500"/>
        <w:jc w:val="both"/>
        <w:rPr>
          <w:sz w:val="25"/>
        </w:rPr>
      </w:pPr>
      <w:r>
        <w:rPr>
          <w:rFonts w:hint="eastAsia" w:ascii="宋体" w:hAnsi="宋体" w:eastAsia="宋体"/>
          <w:color w:val="000000"/>
          <w:sz w:val="25"/>
        </w:rPr>
        <w:t>另外用户可通过即时通讯工具</w:t>
      </w:r>
      <w:r>
        <w:rPr>
          <w:rFonts w:hint="eastAsia" w:ascii="Calibri" w:hAnsi="Calibri" w:eastAsia="Calibri"/>
          <w:color w:val="000000"/>
          <w:sz w:val="25"/>
        </w:rPr>
        <w:t>QQ</w:t>
      </w:r>
      <w:r>
        <w:rPr>
          <w:rFonts w:hint="eastAsia" w:ascii="宋体" w:hAnsi="宋体" w:eastAsia="宋体"/>
          <w:color w:val="000000"/>
          <w:sz w:val="25"/>
        </w:rPr>
        <w:t>、微信、邮件等通信方式获得售后支持服务。</w:t>
      </w:r>
    </w:p>
    <w:p w14:paraId="063407AC">
      <w:pPr>
        <w:wordWrap w:val="0"/>
        <w:spacing w:before="0" w:after="0" w:line="220" w:lineRule="auto"/>
        <w:ind w:firstLine="500"/>
        <w:jc w:val="both"/>
        <w:rPr>
          <w:sz w:val="25"/>
        </w:rPr>
      </w:pPr>
      <w:r>
        <w:rPr>
          <w:rFonts w:hint="eastAsia" w:ascii="Calibri" w:hAnsi="Calibri" w:eastAsia="Calibri"/>
          <w:color w:val="000000"/>
          <w:sz w:val="25"/>
        </w:rPr>
        <w:t>2</w:t>
      </w:r>
      <w:r>
        <w:rPr>
          <w:rFonts w:hint="eastAsia" w:ascii="宋体" w:hAnsi="宋体" w:eastAsia="宋体"/>
          <w:color w:val="000000"/>
          <w:sz w:val="25"/>
        </w:rPr>
        <w:t>、响应机制</w:t>
      </w:r>
    </w:p>
    <w:p w14:paraId="10DD12C6">
      <w:pPr>
        <w:wordWrap w:val="0"/>
        <w:spacing w:before="0" w:after="0" w:line="240" w:lineRule="auto"/>
        <w:ind w:firstLine="0"/>
        <w:jc w:val="both"/>
        <w:rPr>
          <w:rFonts w:hint="eastAsia" w:ascii="宋体" w:hAnsi="宋体" w:eastAsia="宋体"/>
          <w:color w:val="000000"/>
          <w:sz w:val="21"/>
        </w:rPr>
      </w:pPr>
    </w:p>
    <w:p w14:paraId="421D9909">
      <w:pPr>
        <w:wordWrap w:val="0"/>
        <w:spacing w:before="0" w:after="0" w:line="331" w:lineRule="auto"/>
        <w:ind w:left="20" w:right="360" w:firstLine="500"/>
        <w:jc w:val="both"/>
        <w:rPr>
          <w:sz w:val="25"/>
        </w:rPr>
      </w:pPr>
      <w:r>
        <w:rPr>
          <w:rFonts w:hint="eastAsia" w:ascii="宋体" w:hAnsi="宋体" w:eastAsia="宋体"/>
          <w:color w:val="000000"/>
          <w:sz w:val="25"/>
        </w:rPr>
        <w:t>维护期内，乙方为甲方提供远程服务；当系统发生重大故障并远程无法解决时，乙方指派的工程师在</w:t>
      </w:r>
      <w:r>
        <w:rPr>
          <w:rFonts w:hint="eastAsia" w:ascii="Calibri" w:hAnsi="Calibri" w:eastAsia="Calibri"/>
          <w:color w:val="000000"/>
          <w:sz w:val="25"/>
        </w:rPr>
        <w:t>12</w:t>
      </w:r>
      <w:r>
        <w:rPr>
          <w:rFonts w:hint="eastAsia" w:ascii="宋体" w:hAnsi="宋体" w:eastAsia="宋体"/>
          <w:color w:val="000000"/>
          <w:sz w:val="25"/>
        </w:rPr>
        <w:t>小时内到达现场，进行维护并在</w:t>
      </w:r>
      <w:r>
        <w:rPr>
          <w:rFonts w:hint="eastAsia" w:ascii="Calibri" w:hAnsi="Calibri" w:eastAsia="Calibri"/>
          <w:color w:val="000000"/>
          <w:sz w:val="25"/>
        </w:rPr>
        <w:t>6</w:t>
      </w:r>
      <w:r>
        <w:rPr>
          <w:rFonts w:hint="eastAsia" w:ascii="宋体" w:hAnsi="宋体" w:eastAsia="宋体"/>
          <w:color w:val="000000"/>
          <w:sz w:val="25"/>
        </w:rPr>
        <w:t>小时内解决问题。在接到非紧急现场服务请求并远程无法解决请求服务时，</w:t>
      </w:r>
      <w:r>
        <w:rPr>
          <w:rFonts w:hint="eastAsia" w:ascii="Calibri" w:hAnsi="Calibri" w:eastAsia="Calibri"/>
          <w:color w:val="000000"/>
          <w:sz w:val="25"/>
        </w:rPr>
        <w:t>24</w:t>
      </w:r>
      <w:r>
        <w:rPr>
          <w:rFonts w:hint="eastAsia" w:ascii="宋体" w:hAnsi="宋体" w:eastAsia="宋体"/>
          <w:color w:val="000000"/>
          <w:sz w:val="25"/>
        </w:rPr>
        <w:t>小时内做出响应，指派的工程师在</w:t>
      </w:r>
      <w:r>
        <w:rPr>
          <w:rFonts w:hint="eastAsia" w:ascii="Calibri" w:hAnsi="Calibri" w:eastAsia="Calibri"/>
          <w:color w:val="000000"/>
          <w:sz w:val="25"/>
        </w:rPr>
        <w:t>8</w:t>
      </w:r>
      <w:r>
        <w:rPr>
          <w:rFonts w:hint="eastAsia" w:ascii="宋体" w:hAnsi="宋体" w:eastAsia="宋体"/>
          <w:color w:val="000000"/>
          <w:sz w:val="25"/>
        </w:rPr>
        <w:t>小时内进行维护解决问题。维护完成后向院方提交系统完整的故障报告。</w:t>
      </w:r>
    </w:p>
    <w:p w14:paraId="72F934C7">
      <w:pPr>
        <w:wordWrap w:val="0"/>
        <w:spacing w:before="0" w:after="0" w:line="240" w:lineRule="auto"/>
        <w:ind w:firstLine="0"/>
        <w:jc w:val="both"/>
        <w:rPr>
          <w:rFonts w:hint="eastAsia" w:ascii="宋体" w:hAnsi="宋体" w:eastAsia="宋体"/>
          <w:color w:val="000000"/>
          <w:sz w:val="21"/>
        </w:rPr>
      </w:pPr>
    </w:p>
    <w:p w14:paraId="2DB88B3F">
      <w:pPr>
        <w:wordWrap w:val="0"/>
        <w:spacing w:before="0" w:after="0" w:line="206" w:lineRule="auto"/>
        <w:ind w:firstLine="500"/>
        <w:jc w:val="both"/>
        <w:rPr>
          <w:sz w:val="25"/>
        </w:rPr>
      </w:pPr>
      <w:r>
        <w:rPr>
          <w:rFonts w:hint="eastAsia" w:ascii="Calibri" w:hAnsi="Calibri" w:eastAsia="Calibri"/>
          <w:color w:val="000000"/>
          <w:sz w:val="25"/>
        </w:rPr>
        <w:t>3</w:t>
      </w:r>
      <w:r>
        <w:rPr>
          <w:rFonts w:hint="eastAsia" w:ascii="宋体" w:hAnsi="宋体" w:eastAsia="宋体"/>
          <w:color w:val="000000"/>
          <w:sz w:val="25"/>
        </w:rPr>
        <w:t>、现场服务</w:t>
      </w:r>
    </w:p>
    <w:p w14:paraId="6A3F1A43">
      <w:pPr>
        <w:wordWrap w:val="0"/>
        <w:spacing w:before="0" w:after="0" w:line="240" w:lineRule="auto"/>
        <w:ind w:firstLine="0"/>
        <w:jc w:val="both"/>
        <w:rPr>
          <w:rFonts w:hint="eastAsia" w:ascii="宋体" w:hAnsi="宋体" w:eastAsia="宋体"/>
          <w:color w:val="000000"/>
          <w:sz w:val="21"/>
        </w:rPr>
      </w:pPr>
    </w:p>
    <w:p w14:paraId="1CAC8495">
      <w:pPr>
        <w:wordWrap w:val="0"/>
        <w:spacing w:before="0" w:after="0" w:line="302" w:lineRule="auto"/>
        <w:ind w:left="20" w:right="380" w:firstLine="520"/>
        <w:jc w:val="both"/>
        <w:rPr>
          <w:sz w:val="25"/>
        </w:rPr>
      </w:pPr>
      <w:r>
        <w:rPr>
          <w:rFonts w:hint="eastAsia" w:ascii="宋体" w:hAnsi="宋体" w:eastAsia="宋体"/>
          <w:color w:val="000000"/>
          <w:sz w:val="25"/>
        </w:rPr>
        <w:t>在维保期内，乙方对软件提供定期的预防性维护和临时性紧急维修服务；乙方提供每半年一次的巡检服务，指派专人对系统进行全面检测，分析软件运行情况。</w:t>
      </w:r>
    </w:p>
    <w:p w14:paraId="6606200D">
      <w:pPr>
        <w:wordWrap w:val="0"/>
        <w:spacing w:before="76" w:after="0" w:line="360" w:lineRule="auto"/>
        <w:ind w:firstLine="500"/>
        <w:jc w:val="both"/>
        <w:rPr>
          <w:sz w:val="25"/>
        </w:rPr>
      </w:pPr>
      <w:r>
        <w:rPr>
          <w:rFonts w:hint="eastAsia" w:ascii="Calibri" w:hAnsi="Calibri" w:eastAsia="Calibri"/>
          <w:color w:val="000000"/>
          <w:sz w:val="25"/>
        </w:rPr>
        <w:t>4</w:t>
      </w:r>
      <w:r>
        <w:rPr>
          <w:rFonts w:hint="eastAsia" w:ascii="宋体" w:hAnsi="宋体" w:eastAsia="宋体"/>
          <w:color w:val="000000"/>
          <w:sz w:val="25"/>
        </w:rPr>
        <w:t>、系统升级和系统改造</w:t>
      </w:r>
    </w:p>
    <w:p w14:paraId="43235B42">
      <w:pPr>
        <w:wordWrap w:val="0"/>
        <w:spacing w:before="0" w:after="0" w:line="196" w:lineRule="auto"/>
        <w:ind w:left="40" w:right="380" w:firstLine="520"/>
        <w:jc w:val="both"/>
        <w:rPr>
          <w:sz w:val="25"/>
        </w:rPr>
      </w:pPr>
      <w:r>
        <w:rPr>
          <w:rFonts w:hint="eastAsia" w:ascii="宋体" w:hAnsi="宋体" w:eastAsia="宋体"/>
          <w:color w:val="000000"/>
          <w:sz w:val="25"/>
        </w:rPr>
        <w:t>系统在产品质量保证期内，乙方提供免费软件升级，不收取额外费用，乙方每半年一次对所有在网络设备进行软件版本普查，免费对系统进行现场升级。</w:t>
      </w:r>
    </w:p>
    <w:p w14:paraId="13DE7D3D">
      <w:pPr>
        <w:wordWrap w:val="0"/>
        <w:spacing w:before="0" w:after="0" w:line="240" w:lineRule="auto"/>
        <w:ind w:firstLine="0"/>
        <w:jc w:val="both"/>
        <w:rPr>
          <w:rFonts w:hint="eastAsia" w:ascii="宋体" w:hAnsi="宋体" w:eastAsia="宋体"/>
          <w:color w:val="000000"/>
          <w:sz w:val="21"/>
        </w:rPr>
      </w:pPr>
    </w:p>
    <w:p w14:paraId="7FBBA90B">
      <w:pPr>
        <w:wordWrap w:val="0"/>
        <w:spacing w:before="0" w:after="0" w:line="288" w:lineRule="auto"/>
        <w:ind w:left="20" w:right="360" w:firstLine="500"/>
        <w:jc w:val="both"/>
        <w:rPr>
          <w:sz w:val="25"/>
        </w:rPr>
      </w:pPr>
      <w:r>
        <w:rPr>
          <w:rFonts w:hint="eastAsia" w:ascii="宋体" w:hAnsi="宋体" w:eastAsia="宋体"/>
          <w:color w:val="000000"/>
          <w:sz w:val="25"/>
        </w:rPr>
        <w:t>在运行期间，由于甲方原因需要对系统进行重大调整，需要双方共同确认改造方案和技术人员配备方案。</w:t>
      </w:r>
    </w:p>
    <w:p w14:paraId="4EF59052">
      <w:pPr>
        <w:wordWrap w:val="0"/>
        <w:spacing w:before="65" w:after="0" w:line="360" w:lineRule="auto"/>
        <w:ind w:firstLine="500"/>
        <w:jc w:val="both"/>
        <w:rPr>
          <w:sz w:val="25"/>
        </w:rPr>
      </w:pPr>
      <w:r>
        <w:rPr>
          <w:rFonts w:hint="eastAsia" w:ascii="Calibri" w:hAnsi="Calibri" w:eastAsia="Calibri"/>
          <w:color w:val="000000"/>
          <w:sz w:val="25"/>
        </w:rPr>
        <w:t>5</w:t>
      </w:r>
      <w:r>
        <w:rPr>
          <w:rFonts w:hint="eastAsia" w:ascii="宋体" w:hAnsi="宋体" w:eastAsia="宋体"/>
          <w:color w:val="000000"/>
          <w:sz w:val="25"/>
        </w:rPr>
        <w:t>、技术培训</w:t>
      </w:r>
    </w:p>
    <w:p w14:paraId="06D1264D">
      <w:pPr>
        <w:wordWrap w:val="0"/>
        <w:spacing w:before="0" w:after="0" w:line="321" w:lineRule="auto"/>
        <w:ind w:left="40" w:right="380" w:firstLine="500"/>
        <w:jc w:val="both"/>
        <w:rPr>
          <w:sz w:val="25"/>
        </w:rPr>
      </w:pPr>
      <w:r>
        <w:rPr>
          <w:rFonts w:hint="eastAsia" w:ascii="宋体" w:hAnsi="宋体" w:eastAsia="宋体"/>
          <w:color w:val="000000"/>
          <w:sz w:val="25"/>
        </w:rPr>
        <w:t>根据系统运行和日常维护工作情况，结合用户对今后系统发展规划和需求，有针对性的提供有关培训和咨询服务，提高用户系统维护人员的技术水平和业务人员的业务素质。乙方将派遣资深技术工程师到用户工作现场，对各种技术问题和软件的安装及配置方法，进行现场指导和培训。</w:t>
      </w:r>
    </w:p>
    <w:p w14:paraId="40BEC42A">
      <w:pPr>
        <w:wordWrap w:val="0"/>
        <w:spacing w:before="0" w:after="0" w:line="240" w:lineRule="auto"/>
        <w:ind w:firstLine="0"/>
        <w:jc w:val="both"/>
        <w:rPr>
          <w:rFonts w:hint="eastAsia" w:ascii="宋体" w:hAnsi="宋体" w:eastAsia="宋体"/>
          <w:color w:val="000000"/>
          <w:sz w:val="21"/>
        </w:rPr>
      </w:pPr>
    </w:p>
    <w:p w14:paraId="5083A353">
      <w:pPr>
        <w:wordWrap w:val="0"/>
        <w:spacing w:before="0" w:after="0" w:line="235" w:lineRule="auto"/>
        <w:ind w:firstLine="480"/>
        <w:jc w:val="both"/>
        <w:rPr>
          <w:sz w:val="25"/>
        </w:rPr>
      </w:pPr>
      <w:r>
        <w:rPr>
          <w:rFonts w:hint="eastAsia" w:ascii="Calibri" w:hAnsi="Calibri" w:eastAsia="Calibri"/>
          <w:color w:val="000000"/>
          <w:sz w:val="25"/>
        </w:rPr>
        <w:t>6</w:t>
      </w:r>
      <w:r>
        <w:rPr>
          <w:rFonts w:hint="eastAsia" w:ascii="宋体" w:hAnsi="宋体" w:eastAsia="宋体"/>
          <w:color w:val="000000"/>
          <w:sz w:val="25"/>
        </w:rPr>
        <w:t>、紧急情况处理</w:t>
      </w:r>
    </w:p>
    <w:p w14:paraId="207A5AC4">
      <w:pPr>
        <w:wordWrap w:val="0"/>
        <w:spacing w:before="0" w:after="0" w:line="240" w:lineRule="auto"/>
        <w:ind w:firstLine="0"/>
        <w:jc w:val="both"/>
        <w:rPr>
          <w:rFonts w:hint="eastAsia" w:ascii="宋体" w:hAnsi="宋体" w:eastAsia="宋体"/>
          <w:color w:val="000000"/>
          <w:sz w:val="21"/>
        </w:rPr>
      </w:pPr>
    </w:p>
    <w:p w14:paraId="576D7255">
      <w:pPr>
        <w:wordWrap w:val="0"/>
        <w:spacing w:before="0" w:after="0" w:line="235" w:lineRule="auto"/>
        <w:ind w:firstLine="500"/>
        <w:jc w:val="both"/>
        <w:rPr>
          <w:sz w:val="25"/>
        </w:rPr>
        <w:sectPr>
          <w:headerReference r:id="rId6" w:type="default"/>
          <w:footerReference r:id="rId7" w:type="default"/>
          <w:type w:val="continuous"/>
          <w:pgSz w:w="11901" w:h="16961"/>
          <w:pgMar w:top="1200" w:right="1440" w:bottom="1440" w:left="1440" w:header="600" w:footer="720" w:gutter="0"/>
          <w:pgNumType w:fmt="decimal"/>
          <w:cols w:space="720" w:num="1"/>
        </w:sectPr>
      </w:pPr>
      <w:r>
        <w:rPr>
          <w:rFonts w:hint="eastAsia" w:ascii="宋体" w:hAnsi="宋体" w:eastAsia="宋体"/>
          <w:color w:val="000000"/>
          <w:sz w:val="25"/>
        </w:rPr>
        <w:t>提供了</w:t>
      </w:r>
      <w:r>
        <w:rPr>
          <w:rFonts w:hint="eastAsia" w:ascii="Calibri" w:hAnsi="Calibri" w:eastAsia="Calibri"/>
          <w:color w:val="000000"/>
          <w:sz w:val="25"/>
        </w:rPr>
        <w:t>24</w:t>
      </w:r>
      <w:r>
        <w:rPr>
          <w:rFonts w:hint="eastAsia" w:ascii="宋体" w:hAnsi="宋体" w:eastAsia="宋体"/>
          <w:color w:val="000000"/>
          <w:sz w:val="25"/>
        </w:rPr>
        <w:t>小时开机的专职服务工程师和项目经理手机，任何时候客户都可</w:t>
      </w:r>
    </w:p>
    <w:p w14:paraId="1B963457">
      <w:pPr>
        <w:wordWrap w:val="0"/>
        <w:spacing w:before="0" w:after="0" w:line="312" w:lineRule="auto"/>
        <w:ind w:left="20" w:right="40" w:firstLine="0"/>
        <w:jc w:val="both"/>
        <w:rPr>
          <w:sz w:val="26"/>
        </w:rPr>
      </w:pPr>
      <w:r>
        <w:rPr>
          <w:rFonts w:hint="eastAsia" w:ascii="宋体" w:hAnsi="宋体" w:eastAsia="宋体"/>
          <w:color w:val="000000"/>
          <w:sz w:val="26"/>
        </w:rPr>
        <w:t>以及时找到最具经验的专家，防止问题处理的任何环节出现延迟，以尽快解决问题。</w:t>
      </w:r>
    </w:p>
    <w:p w14:paraId="1C139E83">
      <w:pPr>
        <w:wordWrap w:val="0"/>
        <w:spacing w:before="0" w:after="0" w:line="239" w:lineRule="auto"/>
        <w:ind w:firstLine="540"/>
        <w:jc w:val="both"/>
        <w:rPr>
          <w:sz w:val="26"/>
        </w:rPr>
      </w:pPr>
      <w:r>
        <w:rPr>
          <w:rFonts w:hint="eastAsia" w:ascii="Calibri" w:hAnsi="Calibri" w:eastAsia="Calibri"/>
          <w:color w:val="000000"/>
          <w:sz w:val="26"/>
        </w:rPr>
        <w:t>7</w:t>
      </w:r>
      <w:r>
        <w:rPr>
          <w:rFonts w:hint="eastAsia" w:ascii="宋体" w:hAnsi="宋体" w:eastAsia="宋体"/>
          <w:color w:val="000000"/>
          <w:sz w:val="26"/>
        </w:rPr>
        <w:t>、维护程序</w:t>
      </w:r>
    </w:p>
    <w:p w14:paraId="6A2468EB">
      <w:pPr>
        <w:wordWrap w:val="0"/>
        <w:spacing w:before="0" w:after="0" w:line="240" w:lineRule="auto"/>
        <w:ind w:firstLine="0"/>
        <w:jc w:val="both"/>
        <w:rPr>
          <w:rFonts w:hint="eastAsia" w:ascii="宋体" w:hAnsi="宋体" w:eastAsia="宋体"/>
          <w:color w:val="000000"/>
          <w:sz w:val="21"/>
        </w:rPr>
      </w:pPr>
    </w:p>
    <w:p w14:paraId="063D0985">
      <w:pPr>
        <w:wordWrap w:val="0"/>
        <w:spacing w:before="0" w:after="0" w:line="331" w:lineRule="auto"/>
        <w:ind w:left="20" w:right="20" w:firstLine="520"/>
        <w:jc w:val="both"/>
        <w:rPr>
          <w:sz w:val="26"/>
        </w:rPr>
      </w:pPr>
      <w:r>
        <w:rPr>
          <w:rFonts w:hint="eastAsia" w:ascii="宋体" w:hAnsi="宋体" w:eastAsia="宋体"/>
          <w:color w:val="000000"/>
          <w:sz w:val="26"/>
        </w:rPr>
        <w:t>在用户需要技术支持服务时，可以以热线电话或者电子邮件的形式通知技术服务中心，技术服务中心的技术人员将在第一时间与用户联系，了解用户的准确需求，针对运行问题，技术人员将会对问题的相关现象进行详细记录，同时为用户提供解决方案，或者告知明确的答复时间，随后组织相应的技术力量对问题进行分析，制定解决方案。此外，乙方将为用户提供每半年一次的巡检服务，指派专人对系统进行全面检测，分析软件运行情况。</w:t>
      </w:r>
    </w:p>
    <w:p w14:paraId="1C3507CC">
      <w:pPr>
        <w:wordWrap w:val="0"/>
        <w:spacing w:before="72" w:after="0" w:line="359" w:lineRule="auto"/>
        <w:ind w:left="20" w:right="20" w:firstLine="520"/>
        <w:jc w:val="both"/>
        <w:rPr>
          <w:rFonts w:hint="eastAsia" w:eastAsia="宋体"/>
          <w:lang w:val="en-US" w:eastAsia="zh-CN"/>
        </w:rPr>
        <w:sectPr>
          <w:headerReference r:id="rId8" w:type="default"/>
          <w:footerReference r:id="rId9" w:type="default"/>
          <w:type w:val="continuous"/>
          <w:pgSz w:w="11900" w:h="16960"/>
          <w:pgMar w:top="960" w:right="1440" w:bottom="2880" w:left="1440" w:header="480" w:footer="1440" w:gutter="0"/>
          <w:pgNumType w:fmt="decimal"/>
          <w:cols w:space="720" w:num="1"/>
        </w:sectPr>
      </w:pPr>
      <w:r>
        <w:rPr>
          <w:rFonts w:hint="eastAsia" w:ascii="宋体" w:hAnsi="宋体" w:eastAsia="宋体"/>
          <w:color w:val="000000"/>
          <w:sz w:val="26"/>
        </w:rPr>
        <w:t>在系统运行过程中，出现的故障主要存在以下几类：操作错误、配置错误、通讯线路错误或硬件故障，技术服务中心在得到了用户的故障服务请求之后，将搜集充分的故障信息，分析故障的种类，根据不同故障采取相应的解决方案，视具体情况对用户进行电话支持或者现场服务，必要时协调原厂商的技术人员共同研究并解决问题</w:t>
      </w:r>
      <w:r>
        <w:rPr>
          <w:rFonts w:hint="eastAsia" w:ascii="宋体" w:hAnsi="宋体" w:eastAsia="宋体"/>
          <w:color w:val="000000"/>
          <w:sz w:val="26"/>
          <w:lang w:eastAsia="zh-CN"/>
        </w:rPr>
        <w:t>。</w:t>
      </w:r>
      <w:bookmarkStart w:id="0" w:name="_GoBack"/>
      <w:bookmarkEnd w:id="0"/>
    </w:p>
    <w:p w14:paraId="4F2E3E0A">
      <w:pPr>
        <w:rPr>
          <w:rFonts w:hint="default" w:ascii="仿宋" w:hAnsi="仿宋" w:eastAsia="仿宋"/>
          <w:sz w:val="32"/>
          <w:szCs w:val="32"/>
          <w:lang w:val="en-US" w:eastAsia="zh-CN"/>
        </w:rPr>
      </w:pPr>
    </w:p>
    <w:sectPr>
      <w:pgSz w:w="11906" w:h="16838"/>
      <w:pgMar w:top="1440" w:right="1800" w:bottom="1440" w:left="1800" w:header="708" w:footer="708" w:gutter="0"/>
      <w:pgNumType w:fmt="decimal"/>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D5B1">
    <w:pPr>
      <w:spacing w:line="360" w:lineRule="auto"/>
      <w:jc w:val="both"/>
    </w:pPr>
    <w:r>
      <w:rPr>
        <w:sz w:val="22"/>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E51953A">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D0EE">
    <w:pPr>
      <w:spacing w:line="360" w:lineRule="auto"/>
      <w:jc w:val="center"/>
    </w:pPr>
    <w:r>
      <w:rPr>
        <w:sz w:val="22"/>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47B0959">
                <w:pPr>
                  <w:pStyle w:val="2"/>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A49">
    <w:pPr>
      <w:spacing w:line="360" w:lineRule="auto"/>
      <w:jc w:val="center"/>
    </w:pPr>
    <w:r>
      <w:rPr>
        <w:sz w:val="22"/>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6DBFFEF">
                <w:pPr>
                  <w:pStyle w:val="2"/>
                </w:pPr>
                <w:r>
                  <w:fldChar w:fldCharType="begin"/>
                </w:r>
                <w:r>
                  <w:instrText xml:space="preserve"> PAGE  \* MERGEFORMAT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16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C9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4547EE"/>
    <w:rsid w:val="00011EDA"/>
    <w:rsid w:val="00024DEE"/>
    <w:rsid w:val="00047FFE"/>
    <w:rsid w:val="00051848"/>
    <w:rsid w:val="000604B0"/>
    <w:rsid w:val="00063737"/>
    <w:rsid w:val="00063B82"/>
    <w:rsid w:val="000649F8"/>
    <w:rsid w:val="00075A2A"/>
    <w:rsid w:val="0008371D"/>
    <w:rsid w:val="000848EE"/>
    <w:rsid w:val="000855B8"/>
    <w:rsid w:val="00087160"/>
    <w:rsid w:val="00093AA2"/>
    <w:rsid w:val="0009697A"/>
    <w:rsid w:val="000976E3"/>
    <w:rsid w:val="00097C58"/>
    <w:rsid w:val="000A0A86"/>
    <w:rsid w:val="000A111E"/>
    <w:rsid w:val="000A6B6E"/>
    <w:rsid w:val="000B00E4"/>
    <w:rsid w:val="000B23FE"/>
    <w:rsid w:val="000C1A7F"/>
    <w:rsid w:val="000C70E7"/>
    <w:rsid w:val="000D5F15"/>
    <w:rsid w:val="000D63E6"/>
    <w:rsid w:val="000E5821"/>
    <w:rsid w:val="000E7BB8"/>
    <w:rsid w:val="0010447A"/>
    <w:rsid w:val="00113BDE"/>
    <w:rsid w:val="00136B4E"/>
    <w:rsid w:val="001425B4"/>
    <w:rsid w:val="001445C4"/>
    <w:rsid w:val="001501D1"/>
    <w:rsid w:val="00154BAC"/>
    <w:rsid w:val="0016017C"/>
    <w:rsid w:val="001878CB"/>
    <w:rsid w:val="001A04CB"/>
    <w:rsid w:val="001A684C"/>
    <w:rsid w:val="001B3C8E"/>
    <w:rsid w:val="001C5FF8"/>
    <w:rsid w:val="001D13F8"/>
    <w:rsid w:val="001D1937"/>
    <w:rsid w:val="001D24A9"/>
    <w:rsid w:val="001E0FC1"/>
    <w:rsid w:val="001E3716"/>
    <w:rsid w:val="001E7C0D"/>
    <w:rsid w:val="0020161A"/>
    <w:rsid w:val="00207021"/>
    <w:rsid w:val="0020712A"/>
    <w:rsid w:val="00217505"/>
    <w:rsid w:val="0022790A"/>
    <w:rsid w:val="00231EC1"/>
    <w:rsid w:val="002409CE"/>
    <w:rsid w:val="00254237"/>
    <w:rsid w:val="002619B0"/>
    <w:rsid w:val="00264498"/>
    <w:rsid w:val="00273055"/>
    <w:rsid w:val="00274F27"/>
    <w:rsid w:val="00282BF2"/>
    <w:rsid w:val="002901EC"/>
    <w:rsid w:val="002917B6"/>
    <w:rsid w:val="00295641"/>
    <w:rsid w:val="002A1D85"/>
    <w:rsid w:val="002C0251"/>
    <w:rsid w:val="002C3171"/>
    <w:rsid w:val="002C53CF"/>
    <w:rsid w:val="002C66DB"/>
    <w:rsid w:val="002C6FA6"/>
    <w:rsid w:val="002D6C77"/>
    <w:rsid w:val="002E7F2E"/>
    <w:rsid w:val="002F4E04"/>
    <w:rsid w:val="00300996"/>
    <w:rsid w:val="00302AA5"/>
    <w:rsid w:val="003102AE"/>
    <w:rsid w:val="00317B11"/>
    <w:rsid w:val="00323B43"/>
    <w:rsid w:val="00345087"/>
    <w:rsid w:val="003531A6"/>
    <w:rsid w:val="00366FF2"/>
    <w:rsid w:val="00380DD9"/>
    <w:rsid w:val="00391B6C"/>
    <w:rsid w:val="00392528"/>
    <w:rsid w:val="003929B0"/>
    <w:rsid w:val="003950AC"/>
    <w:rsid w:val="003A7086"/>
    <w:rsid w:val="003B56F1"/>
    <w:rsid w:val="003D37D8"/>
    <w:rsid w:val="003E45FC"/>
    <w:rsid w:val="003F56AE"/>
    <w:rsid w:val="004044EE"/>
    <w:rsid w:val="00404E8B"/>
    <w:rsid w:val="00416588"/>
    <w:rsid w:val="00417566"/>
    <w:rsid w:val="0042496E"/>
    <w:rsid w:val="00432D1F"/>
    <w:rsid w:val="004358AB"/>
    <w:rsid w:val="004415CC"/>
    <w:rsid w:val="00442F10"/>
    <w:rsid w:val="004547EE"/>
    <w:rsid w:val="00461728"/>
    <w:rsid w:val="00465E0A"/>
    <w:rsid w:val="004673D6"/>
    <w:rsid w:val="00476FC0"/>
    <w:rsid w:val="00485F1E"/>
    <w:rsid w:val="00487ED6"/>
    <w:rsid w:val="004952DC"/>
    <w:rsid w:val="004C3E75"/>
    <w:rsid w:val="004F65CC"/>
    <w:rsid w:val="005033A9"/>
    <w:rsid w:val="00513AE4"/>
    <w:rsid w:val="00514995"/>
    <w:rsid w:val="00520C53"/>
    <w:rsid w:val="00535C3E"/>
    <w:rsid w:val="00537EB1"/>
    <w:rsid w:val="00546175"/>
    <w:rsid w:val="00547795"/>
    <w:rsid w:val="005655F2"/>
    <w:rsid w:val="00571F2C"/>
    <w:rsid w:val="00574916"/>
    <w:rsid w:val="00586FFA"/>
    <w:rsid w:val="00591275"/>
    <w:rsid w:val="005A7FD1"/>
    <w:rsid w:val="005B0BF4"/>
    <w:rsid w:val="005B20CA"/>
    <w:rsid w:val="005B6CC7"/>
    <w:rsid w:val="005D02E8"/>
    <w:rsid w:val="005D1033"/>
    <w:rsid w:val="005F0B9D"/>
    <w:rsid w:val="005F26C5"/>
    <w:rsid w:val="0060151B"/>
    <w:rsid w:val="00602B89"/>
    <w:rsid w:val="00606BD0"/>
    <w:rsid w:val="00612AA0"/>
    <w:rsid w:val="00626742"/>
    <w:rsid w:val="00627834"/>
    <w:rsid w:val="00640555"/>
    <w:rsid w:val="00642ED2"/>
    <w:rsid w:val="00645A59"/>
    <w:rsid w:val="0065011D"/>
    <w:rsid w:val="006519ED"/>
    <w:rsid w:val="00652D86"/>
    <w:rsid w:val="0066084D"/>
    <w:rsid w:val="00674766"/>
    <w:rsid w:val="006B6AD8"/>
    <w:rsid w:val="006C6FC6"/>
    <w:rsid w:val="006D72FC"/>
    <w:rsid w:val="006E3A69"/>
    <w:rsid w:val="006E4571"/>
    <w:rsid w:val="00705E8E"/>
    <w:rsid w:val="007142F1"/>
    <w:rsid w:val="00724E36"/>
    <w:rsid w:val="00730AF6"/>
    <w:rsid w:val="00742867"/>
    <w:rsid w:val="00763792"/>
    <w:rsid w:val="00771FA9"/>
    <w:rsid w:val="007837C5"/>
    <w:rsid w:val="00790AD5"/>
    <w:rsid w:val="007961E1"/>
    <w:rsid w:val="0079748D"/>
    <w:rsid w:val="007A694E"/>
    <w:rsid w:val="007B1EB6"/>
    <w:rsid w:val="007B35F6"/>
    <w:rsid w:val="007B55E7"/>
    <w:rsid w:val="007C0BED"/>
    <w:rsid w:val="007C768C"/>
    <w:rsid w:val="007F1E94"/>
    <w:rsid w:val="007F7C6B"/>
    <w:rsid w:val="00807347"/>
    <w:rsid w:val="00817E49"/>
    <w:rsid w:val="008215FD"/>
    <w:rsid w:val="0083045D"/>
    <w:rsid w:val="00846FB9"/>
    <w:rsid w:val="00847357"/>
    <w:rsid w:val="00874271"/>
    <w:rsid w:val="00876D7B"/>
    <w:rsid w:val="008845E2"/>
    <w:rsid w:val="00884BD0"/>
    <w:rsid w:val="00886035"/>
    <w:rsid w:val="008941C7"/>
    <w:rsid w:val="00894841"/>
    <w:rsid w:val="008A6FE0"/>
    <w:rsid w:val="008A7B51"/>
    <w:rsid w:val="008B7726"/>
    <w:rsid w:val="008C22A7"/>
    <w:rsid w:val="008C4EDB"/>
    <w:rsid w:val="008C63B1"/>
    <w:rsid w:val="008D207C"/>
    <w:rsid w:val="008E1C7F"/>
    <w:rsid w:val="008F570A"/>
    <w:rsid w:val="009132D0"/>
    <w:rsid w:val="0091540F"/>
    <w:rsid w:val="009172AF"/>
    <w:rsid w:val="00931DAC"/>
    <w:rsid w:val="00942CC5"/>
    <w:rsid w:val="0095281C"/>
    <w:rsid w:val="00976108"/>
    <w:rsid w:val="009A15A6"/>
    <w:rsid w:val="009B040C"/>
    <w:rsid w:val="009B1338"/>
    <w:rsid w:val="009B2751"/>
    <w:rsid w:val="009B4034"/>
    <w:rsid w:val="009C32D1"/>
    <w:rsid w:val="009C5B5E"/>
    <w:rsid w:val="009C66B6"/>
    <w:rsid w:val="009E4983"/>
    <w:rsid w:val="009F3FC0"/>
    <w:rsid w:val="00A13067"/>
    <w:rsid w:val="00A15E0F"/>
    <w:rsid w:val="00A250F3"/>
    <w:rsid w:val="00A34B36"/>
    <w:rsid w:val="00A506C7"/>
    <w:rsid w:val="00A55F33"/>
    <w:rsid w:val="00A5704E"/>
    <w:rsid w:val="00A70DD9"/>
    <w:rsid w:val="00A82445"/>
    <w:rsid w:val="00A8568E"/>
    <w:rsid w:val="00A9145E"/>
    <w:rsid w:val="00A96D4C"/>
    <w:rsid w:val="00AA3546"/>
    <w:rsid w:val="00AA47FB"/>
    <w:rsid w:val="00AA5D41"/>
    <w:rsid w:val="00AA7686"/>
    <w:rsid w:val="00AD2F12"/>
    <w:rsid w:val="00AD3F40"/>
    <w:rsid w:val="00AF3D66"/>
    <w:rsid w:val="00AF513D"/>
    <w:rsid w:val="00AF5780"/>
    <w:rsid w:val="00B01C40"/>
    <w:rsid w:val="00B02750"/>
    <w:rsid w:val="00B13BBB"/>
    <w:rsid w:val="00B1623F"/>
    <w:rsid w:val="00B23367"/>
    <w:rsid w:val="00B24766"/>
    <w:rsid w:val="00B2597E"/>
    <w:rsid w:val="00B30172"/>
    <w:rsid w:val="00B3462B"/>
    <w:rsid w:val="00B45301"/>
    <w:rsid w:val="00B5284A"/>
    <w:rsid w:val="00B5454F"/>
    <w:rsid w:val="00B67CD2"/>
    <w:rsid w:val="00B72C15"/>
    <w:rsid w:val="00B81683"/>
    <w:rsid w:val="00B85160"/>
    <w:rsid w:val="00B9612E"/>
    <w:rsid w:val="00BA3554"/>
    <w:rsid w:val="00BA360D"/>
    <w:rsid w:val="00BA52EB"/>
    <w:rsid w:val="00BC73A8"/>
    <w:rsid w:val="00BD1DE7"/>
    <w:rsid w:val="00BD5391"/>
    <w:rsid w:val="00BE5702"/>
    <w:rsid w:val="00BE5A2A"/>
    <w:rsid w:val="00C10E21"/>
    <w:rsid w:val="00C1167C"/>
    <w:rsid w:val="00C12DFD"/>
    <w:rsid w:val="00C15F9B"/>
    <w:rsid w:val="00C243D7"/>
    <w:rsid w:val="00C261DC"/>
    <w:rsid w:val="00C410CD"/>
    <w:rsid w:val="00C420C4"/>
    <w:rsid w:val="00C44BD6"/>
    <w:rsid w:val="00C44FE6"/>
    <w:rsid w:val="00C453F2"/>
    <w:rsid w:val="00C456F0"/>
    <w:rsid w:val="00C5246D"/>
    <w:rsid w:val="00C52EB5"/>
    <w:rsid w:val="00C561E2"/>
    <w:rsid w:val="00C63722"/>
    <w:rsid w:val="00C7035B"/>
    <w:rsid w:val="00C70A89"/>
    <w:rsid w:val="00C80494"/>
    <w:rsid w:val="00C83E8C"/>
    <w:rsid w:val="00C91CB6"/>
    <w:rsid w:val="00C93036"/>
    <w:rsid w:val="00CA2F5A"/>
    <w:rsid w:val="00CB3EF9"/>
    <w:rsid w:val="00CD1AC1"/>
    <w:rsid w:val="00CD2E90"/>
    <w:rsid w:val="00CD7453"/>
    <w:rsid w:val="00CE12D9"/>
    <w:rsid w:val="00CE725E"/>
    <w:rsid w:val="00CF0ED2"/>
    <w:rsid w:val="00CF38A5"/>
    <w:rsid w:val="00CF53B3"/>
    <w:rsid w:val="00D10F24"/>
    <w:rsid w:val="00D1103A"/>
    <w:rsid w:val="00D16C45"/>
    <w:rsid w:val="00D2689A"/>
    <w:rsid w:val="00D36794"/>
    <w:rsid w:val="00D40D65"/>
    <w:rsid w:val="00D46F4D"/>
    <w:rsid w:val="00D47D81"/>
    <w:rsid w:val="00D7489A"/>
    <w:rsid w:val="00D81D5F"/>
    <w:rsid w:val="00D9147D"/>
    <w:rsid w:val="00D95608"/>
    <w:rsid w:val="00D9677A"/>
    <w:rsid w:val="00DB08E3"/>
    <w:rsid w:val="00DB6357"/>
    <w:rsid w:val="00DD4A0B"/>
    <w:rsid w:val="00DD7332"/>
    <w:rsid w:val="00DE0C10"/>
    <w:rsid w:val="00DE39A5"/>
    <w:rsid w:val="00E129CF"/>
    <w:rsid w:val="00E256D9"/>
    <w:rsid w:val="00E270F5"/>
    <w:rsid w:val="00E33A32"/>
    <w:rsid w:val="00E36CE2"/>
    <w:rsid w:val="00E434BB"/>
    <w:rsid w:val="00E46640"/>
    <w:rsid w:val="00E6370C"/>
    <w:rsid w:val="00E704D4"/>
    <w:rsid w:val="00E7208B"/>
    <w:rsid w:val="00E868BD"/>
    <w:rsid w:val="00E905C3"/>
    <w:rsid w:val="00E90BC2"/>
    <w:rsid w:val="00E96E3C"/>
    <w:rsid w:val="00EA4018"/>
    <w:rsid w:val="00EB0212"/>
    <w:rsid w:val="00EB1820"/>
    <w:rsid w:val="00EB39C4"/>
    <w:rsid w:val="00EC0C45"/>
    <w:rsid w:val="00EC1D9B"/>
    <w:rsid w:val="00EC288D"/>
    <w:rsid w:val="00EC5DBD"/>
    <w:rsid w:val="00ED23DA"/>
    <w:rsid w:val="00EE28C1"/>
    <w:rsid w:val="00EE31A8"/>
    <w:rsid w:val="00EE3E58"/>
    <w:rsid w:val="00EF68F6"/>
    <w:rsid w:val="00EF69A8"/>
    <w:rsid w:val="00F04F13"/>
    <w:rsid w:val="00F071C1"/>
    <w:rsid w:val="00F1200C"/>
    <w:rsid w:val="00F15758"/>
    <w:rsid w:val="00F30880"/>
    <w:rsid w:val="00F3100D"/>
    <w:rsid w:val="00F34DCF"/>
    <w:rsid w:val="00F4185C"/>
    <w:rsid w:val="00F43BE4"/>
    <w:rsid w:val="00F512DB"/>
    <w:rsid w:val="00F5582D"/>
    <w:rsid w:val="00F6127A"/>
    <w:rsid w:val="00F666E9"/>
    <w:rsid w:val="00F77A61"/>
    <w:rsid w:val="00F8569C"/>
    <w:rsid w:val="00F857AF"/>
    <w:rsid w:val="00F86B4B"/>
    <w:rsid w:val="00F90085"/>
    <w:rsid w:val="00F92A16"/>
    <w:rsid w:val="00F935AC"/>
    <w:rsid w:val="00F93CED"/>
    <w:rsid w:val="00F94788"/>
    <w:rsid w:val="00F97C71"/>
    <w:rsid w:val="00FA25D8"/>
    <w:rsid w:val="00FA2CB3"/>
    <w:rsid w:val="00FC77D3"/>
    <w:rsid w:val="00FF1AC3"/>
    <w:rsid w:val="00FF529F"/>
    <w:rsid w:val="017477EC"/>
    <w:rsid w:val="01C23E66"/>
    <w:rsid w:val="01E10801"/>
    <w:rsid w:val="01E60A8E"/>
    <w:rsid w:val="01F6688D"/>
    <w:rsid w:val="023E6D97"/>
    <w:rsid w:val="0287056B"/>
    <w:rsid w:val="031C3065"/>
    <w:rsid w:val="032947D3"/>
    <w:rsid w:val="033C6F10"/>
    <w:rsid w:val="03457BE6"/>
    <w:rsid w:val="03982473"/>
    <w:rsid w:val="0425191D"/>
    <w:rsid w:val="04434411"/>
    <w:rsid w:val="04870987"/>
    <w:rsid w:val="04F11CB3"/>
    <w:rsid w:val="05526256"/>
    <w:rsid w:val="05BA2D29"/>
    <w:rsid w:val="060B001B"/>
    <w:rsid w:val="060E65D3"/>
    <w:rsid w:val="06287DCC"/>
    <w:rsid w:val="0638445C"/>
    <w:rsid w:val="077171FE"/>
    <w:rsid w:val="07D6672F"/>
    <w:rsid w:val="07D81349"/>
    <w:rsid w:val="07E21D78"/>
    <w:rsid w:val="081B29AD"/>
    <w:rsid w:val="084048EC"/>
    <w:rsid w:val="086D5BD9"/>
    <w:rsid w:val="088B3142"/>
    <w:rsid w:val="089B5B63"/>
    <w:rsid w:val="08CE0FE8"/>
    <w:rsid w:val="093834EB"/>
    <w:rsid w:val="094C6E56"/>
    <w:rsid w:val="0960366E"/>
    <w:rsid w:val="0A1B37C5"/>
    <w:rsid w:val="0A2223F3"/>
    <w:rsid w:val="0A25717B"/>
    <w:rsid w:val="0A465068"/>
    <w:rsid w:val="0A58114B"/>
    <w:rsid w:val="0A7C7F94"/>
    <w:rsid w:val="0AA93298"/>
    <w:rsid w:val="0AD32F14"/>
    <w:rsid w:val="0AF54B0E"/>
    <w:rsid w:val="0B170B4C"/>
    <w:rsid w:val="0B6B6418"/>
    <w:rsid w:val="0BA91C3B"/>
    <w:rsid w:val="0D007208"/>
    <w:rsid w:val="0D6D37F0"/>
    <w:rsid w:val="0DB46E2C"/>
    <w:rsid w:val="0E044B17"/>
    <w:rsid w:val="0E231A0D"/>
    <w:rsid w:val="0E6427B8"/>
    <w:rsid w:val="0E88789F"/>
    <w:rsid w:val="0EA0444F"/>
    <w:rsid w:val="0EAA3C8F"/>
    <w:rsid w:val="0EC6199C"/>
    <w:rsid w:val="0F640F36"/>
    <w:rsid w:val="0FA83767"/>
    <w:rsid w:val="0FEB2F8E"/>
    <w:rsid w:val="107B1AAE"/>
    <w:rsid w:val="10AA31E8"/>
    <w:rsid w:val="10D61C1C"/>
    <w:rsid w:val="1123404F"/>
    <w:rsid w:val="115E51DF"/>
    <w:rsid w:val="11893DC1"/>
    <w:rsid w:val="11EB34DD"/>
    <w:rsid w:val="11FA1B70"/>
    <w:rsid w:val="125015DE"/>
    <w:rsid w:val="12692D3B"/>
    <w:rsid w:val="129F078D"/>
    <w:rsid w:val="134A63D6"/>
    <w:rsid w:val="13891EF7"/>
    <w:rsid w:val="143C32B8"/>
    <w:rsid w:val="1488275C"/>
    <w:rsid w:val="149B14D2"/>
    <w:rsid w:val="14BF3024"/>
    <w:rsid w:val="15BA2643"/>
    <w:rsid w:val="162205BE"/>
    <w:rsid w:val="166B7A3C"/>
    <w:rsid w:val="172E05FB"/>
    <w:rsid w:val="178C3FC6"/>
    <w:rsid w:val="17DB3D0C"/>
    <w:rsid w:val="185A3945"/>
    <w:rsid w:val="193F6DD5"/>
    <w:rsid w:val="1A14031A"/>
    <w:rsid w:val="1A19259D"/>
    <w:rsid w:val="1A1B7A16"/>
    <w:rsid w:val="1A410049"/>
    <w:rsid w:val="1A635363"/>
    <w:rsid w:val="1A6E4ACD"/>
    <w:rsid w:val="1A8D694C"/>
    <w:rsid w:val="1B285637"/>
    <w:rsid w:val="1B55585C"/>
    <w:rsid w:val="1B996C5A"/>
    <w:rsid w:val="1BAB3B50"/>
    <w:rsid w:val="1BE75DD8"/>
    <w:rsid w:val="1C0A6E61"/>
    <w:rsid w:val="1C1C5B72"/>
    <w:rsid w:val="1C2309E8"/>
    <w:rsid w:val="1C230F97"/>
    <w:rsid w:val="1C74399F"/>
    <w:rsid w:val="1C9468B9"/>
    <w:rsid w:val="1CA01578"/>
    <w:rsid w:val="1CFC63FD"/>
    <w:rsid w:val="1D1A011C"/>
    <w:rsid w:val="1D2428C2"/>
    <w:rsid w:val="1DD0174A"/>
    <w:rsid w:val="1DE47E1C"/>
    <w:rsid w:val="1EB276EF"/>
    <w:rsid w:val="1F10379D"/>
    <w:rsid w:val="1F31582B"/>
    <w:rsid w:val="1F3431D9"/>
    <w:rsid w:val="1FCE44AF"/>
    <w:rsid w:val="1FD164F4"/>
    <w:rsid w:val="20470C21"/>
    <w:rsid w:val="211F5F88"/>
    <w:rsid w:val="21281650"/>
    <w:rsid w:val="212F4585"/>
    <w:rsid w:val="215B212B"/>
    <w:rsid w:val="22005907"/>
    <w:rsid w:val="22B51BAB"/>
    <w:rsid w:val="2312163B"/>
    <w:rsid w:val="23136FD9"/>
    <w:rsid w:val="23386CA9"/>
    <w:rsid w:val="2342759F"/>
    <w:rsid w:val="23827F1F"/>
    <w:rsid w:val="23855F81"/>
    <w:rsid w:val="23860DCF"/>
    <w:rsid w:val="23980946"/>
    <w:rsid w:val="239B34CA"/>
    <w:rsid w:val="23DB6D1A"/>
    <w:rsid w:val="23ED5D6A"/>
    <w:rsid w:val="245E533E"/>
    <w:rsid w:val="251E663B"/>
    <w:rsid w:val="25C62D4F"/>
    <w:rsid w:val="25CE4A7A"/>
    <w:rsid w:val="262D46D1"/>
    <w:rsid w:val="27024D53"/>
    <w:rsid w:val="279A3A4B"/>
    <w:rsid w:val="27BC63D7"/>
    <w:rsid w:val="27E62440"/>
    <w:rsid w:val="27EA4247"/>
    <w:rsid w:val="28551857"/>
    <w:rsid w:val="28957765"/>
    <w:rsid w:val="28C8342B"/>
    <w:rsid w:val="28EC11DF"/>
    <w:rsid w:val="293E0B64"/>
    <w:rsid w:val="294A416A"/>
    <w:rsid w:val="29AC09A5"/>
    <w:rsid w:val="29B201E2"/>
    <w:rsid w:val="2A117193"/>
    <w:rsid w:val="2A4B59F6"/>
    <w:rsid w:val="2A7A4A7D"/>
    <w:rsid w:val="2A8720EC"/>
    <w:rsid w:val="2B552F9B"/>
    <w:rsid w:val="2BA725B9"/>
    <w:rsid w:val="2C032B39"/>
    <w:rsid w:val="2CC7387A"/>
    <w:rsid w:val="2D0A2B7B"/>
    <w:rsid w:val="2D1201F4"/>
    <w:rsid w:val="2D61203C"/>
    <w:rsid w:val="2DE262A8"/>
    <w:rsid w:val="2EC83484"/>
    <w:rsid w:val="2F0067D0"/>
    <w:rsid w:val="2F4107D4"/>
    <w:rsid w:val="2F647F99"/>
    <w:rsid w:val="2F6B2255"/>
    <w:rsid w:val="2F857DA2"/>
    <w:rsid w:val="2FB24B16"/>
    <w:rsid w:val="2FB50460"/>
    <w:rsid w:val="30686A5A"/>
    <w:rsid w:val="30B40CD0"/>
    <w:rsid w:val="30BC1F7C"/>
    <w:rsid w:val="312E22D9"/>
    <w:rsid w:val="312E2713"/>
    <w:rsid w:val="316111BA"/>
    <w:rsid w:val="326405E2"/>
    <w:rsid w:val="32992B62"/>
    <w:rsid w:val="32DC0DD6"/>
    <w:rsid w:val="33237F00"/>
    <w:rsid w:val="33770993"/>
    <w:rsid w:val="337E2717"/>
    <w:rsid w:val="341B2534"/>
    <w:rsid w:val="34ED48B6"/>
    <w:rsid w:val="358877CF"/>
    <w:rsid w:val="359C751F"/>
    <w:rsid w:val="35DD28D6"/>
    <w:rsid w:val="35ED4091"/>
    <w:rsid w:val="35F6449B"/>
    <w:rsid w:val="35FF0A4D"/>
    <w:rsid w:val="362C23BE"/>
    <w:rsid w:val="363725BB"/>
    <w:rsid w:val="365F2993"/>
    <w:rsid w:val="36762B3C"/>
    <w:rsid w:val="37441C5F"/>
    <w:rsid w:val="374760D4"/>
    <w:rsid w:val="37835A3A"/>
    <w:rsid w:val="38414F89"/>
    <w:rsid w:val="388B3FE9"/>
    <w:rsid w:val="38A46757"/>
    <w:rsid w:val="39207485"/>
    <w:rsid w:val="392E7751"/>
    <w:rsid w:val="39751211"/>
    <w:rsid w:val="398C2B9D"/>
    <w:rsid w:val="39B639D5"/>
    <w:rsid w:val="39D86D3E"/>
    <w:rsid w:val="3A290273"/>
    <w:rsid w:val="3A68200D"/>
    <w:rsid w:val="3AE308DC"/>
    <w:rsid w:val="3AEF0521"/>
    <w:rsid w:val="3B426E6B"/>
    <w:rsid w:val="3B854AB7"/>
    <w:rsid w:val="3BBF60BD"/>
    <w:rsid w:val="3BE469B3"/>
    <w:rsid w:val="3C8314DD"/>
    <w:rsid w:val="3C9C7889"/>
    <w:rsid w:val="3D3C1B40"/>
    <w:rsid w:val="3D6E6A35"/>
    <w:rsid w:val="3DAE1F97"/>
    <w:rsid w:val="3DBD433A"/>
    <w:rsid w:val="3DED571A"/>
    <w:rsid w:val="3DF209A1"/>
    <w:rsid w:val="3E261ECB"/>
    <w:rsid w:val="3E837B59"/>
    <w:rsid w:val="3F877DFD"/>
    <w:rsid w:val="3F935366"/>
    <w:rsid w:val="3F941834"/>
    <w:rsid w:val="3FFD1743"/>
    <w:rsid w:val="400E4338"/>
    <w:rsid w:val="4015287E"/>
    <w:rsid w:val="403E7849"/>
    <w:rsid w:val="40492CA1"/>
    <w:rsid w:val="404D5963"/>
    <w:rsid w:val="405D0707"/>
    <w:rsid w:val="4091421C"/>
    <w:rsid w:val="40AD2068"/>
    <w:rsid w:val="40FF3CD3"/>
    <w:rsid w:val="41A74E96"/>
    <w:rsid w:val="4236034E"/>
    <w:rsid w:val="438C0063"/>
    <w:rsid w:val="439F0832"/>
    <w:rsid w:val="43D4621A"/>
    <w:rsid w:val="44617F93"/>
    <w:rsid w:val="44A90BE2"/>
    <w:rsid w:val="44D177A7"/>
    <w:rsid w:val="44D31954"/>
    <w:rsid w:val="450E436F"/>
    <w:rsid w:val="45597199"/>
    <w:rsid w:val="458F24DE"/>
    <w:rsid w:val="45C2347F"/>
    <w:rsid w:val="46080EA3"/>
    <w:rsid w:val="462B48AC"/>
    <w:rsid w:val="46326B82"/>
    <w:rsid w:val="46D3491E"/>
    <w:rsid w:val="47173CBE"/>
    <w:rsid w:val="47180A07"/>
    <w:rsid w:val="472A00D1"/>
    <w:rsid w:val="476B1A7F"/>
    <w:rsid w:val="478E6FF4"/>
    <w:rsid w:val="47A66B60"/>
    <w:rsid w:val="47FB24F7"/>
    <w:rsid w:val="480E1F0F"/>
    <w:rsid w:val="4815550F"/>
    <w:rsid w:val="482F74AE"/>
    <w:rsid w:val="48784F6D"/>
    <w:rsid w:val="48CF2D2C"/>
    <w:rsid w:val="497F1AB8"/>
    <w:rsid w:val="49B30099"/>
    <w:rsid w:val="4A2A4281"/>
    <w:rsid w:val="4A660874"/>
    <w:rsid w:val="4A9F738C"/>
    <w:rsid w:val="4B146F06"/>
    <w:rsid w:val="4B490090"/>
    <w:rsid w:val="4B5A46E6"/>
    <w:rsid w:val="4BB92126"/>
    <w:rsid w:val="4C4A4FEF"/>
    <w:rsid w:val="4CB86638"/>
    <w:rsid w:val="4CBA6381"/>
    <w:rsid w:val="4DB51E64"/>
    <w:rsid w:val="4DB60983"/>
    <w:rsid w:val="4E580013"/>
    <w:rsid w:val="4E5A666A"/>
    <w:rsid w:val="4EF306D4"/>
    <w:rsid w:val="4F3619AC"/>
    <w:rsid w:val="4F5F0631"/>
    <w:rsid w:val="4F8E4017"/>
    <w:rsid w:val="4FD8435A"/>
    <w:rsid w:val="4FD911C1"/>
    <w:rsid w:val="503E5DC2"/>
    <w:rsid w:val="504A48DD"/>
    <w:rsid w:val="50B026C3"/>
    <w:rsid w:val="51A768C2"/>
    <w:rsid w:val="51AF7E51"/>
    <w:rsid w:val="51C2456A"/>
    <w:rsid w:val="52255593"/>
    <w:rsid w:val="527314C3"/>
    <w:rsid w:val="52BE0B89"/>
    <w:rsid w:val="52F07FFA"/>
    <w:rsid w:val="52FB1342"/>
    <w:rsid w:val="52FC3097"/>
    <w:rsid w:val="53E96F3C"/>
    <w:rsid w:val="541A4E6F"/>
    <w:rsid w:val="54533297"/>
    <w:rsid w:val="54A70916"/>
    <w:rsid w:val="558155A1"/>
    <w:rsid w:val="55B20150"/>
    <w:rsid w:val="55FF15CF"/>
    <w:rsid w:val="567E1EAC"/>
    <w:rsid w:val="56A01D3C"/>
    <w:rsid w:val="56B34BBD"/>
    <w:rsid w:val="574622AF"/>
    <w:rsid w:val="577232F6"/>
    <w:rsid w:val="578E276E"/>
    <w:rsid w:val="58314271"/>
    <w:rsid w:val="583F483B"/>
    <w:rsid w:val="58865230"/>
    <w:rsid w:val="58880930"/>
    <w:rsid w:val="58923017"/>
    <w:rsid w:val="58DB6C4A"/>
    <w:rsid w:val="591F50FE"/>
    <w:rsid w:val="594F7F8E"/>
    <w:rsid w:val="599A77DE"/>
    <w:rsid w:val="59A4636F"/>
    <w:rsid w:val="59B13B1A"/>
    <w:rsid w:val="59EE40D5"/>
    <w:rsid w:val="5A3A7DDA"/>
    <w:rsid w:val="5A574AD3"/>
    <w:rsid w:val="5AC70A89"/>
    <w:rsid w:val="5AEA106D"/>
    <w:rsid w:val="5BA567B5"/>
    <w:rsid w:val="5BD44F79"/>
    <w:rsid w:val="5BE123DA"/>
    <w:rsid w:val="5BEA0574"/>
    <w:rsid w:val="5C534FBB"/>
    <w:rsid w:val="5C8C575E"/>
    <w:rsid w:val="5C8E7DD6"/>
    <w:rsid w:val="5C904D78"/>
    <w:rsid w:val="5CBD012A"/>
    <w:rsid w:val="5D4F3EF0"/>
    <w:rsid w:val="5DAA20E0"/>
    <w:rsid w:val="5DD145D0"/>
    <w:rsid w:val="5E5F42D1"/>
    <w:rsid w:val="5E881308"/>
    <w:rsid w:val="5EF445BA"/>
    <w:rsid w:val="5F110BC7"/>
    <w:rsid w:val="5F4E5B75"/>
    <w:rsid w:val="5F5E3A45"/>
    <w:rsid w:val="5F6F6EF2"/>
    <w:rsid w:val="5FBD7D27"/>
    <w:rsid w:val="60002825"/>
    <w:rsid w:val="603F5F7F"/>
    <w:rsid w:val="6065087C"/>
    <w:rsid w:val="60DF3F1B"/>
    <w:rsid w:val="60F15A46"/>
    <w:rsid w:val="61023050"/>
    <w:rsid w:val="61136845"/>
    <w:rsid w:val="61521353"/>
    <w:rsid w:val="61A55A84"/>
    <w:rsid w:val="61E16102"/>
    <w:rsid w:val="63132808"/>
    <w:rsid w:val="63FE21E4"/>
    <w:rsid w:val="64673829"/>
    <w:rsid w:val="652B6F8E"/>
    <w:rsid w:val="654A5D7B"/>
    <w:rsid w:val="659E7CFC"/>
    <w:rsid w:val="65A662C8"/>
    <w:rsid w:val="65A74C57"/>
    <w:rsid w:val="65D03537"/>
    <w:rsid w:val="665D527C"/>
    <w:rsid w:val="668F5A72"/>
    <w:rsid w:val="66B7063E"/>
    <w:rsid w:val="66D12374"/>
    <w:rsid w:val="67BE7538"/>
    <w:rsid w:val="67CD00B0"/>
    <w:rsid w:val="680E2415"/>
    <w:rsid w:val="684E16CB"/>
    <w:rsid w:val="688F049C"/>
    <w:rsid w:val="68B179CB"/>
    <w:rsid w:val="68D21BD6"/>
    <w:rsid w:val="68F31657"/>
    <w:rsid w:val="69377151"/>
    <w:rsid w:val="69CA169D"/>
    <w:rsid w:val="6AB103D5"/>
    <w:rsid w:val="6AB455F6"/>
    <w:rsid w:val="6AB67AE6"/>
    <w:rsid w:val="6ADF55AE"/>
    <w:rsid w:val="6B057E8D"/>
    <w:rsid w:val="6B567CA6"/>
    <w:rsid w:val="6B71563D"/>
    <w:rsid w:val="6C2B3422"/>
    <w:rsid w:val="6CB65065"/>
    <w:rsid w:val="6D266236"/>
    <w:rsid w:val="6DB05FEF"/>
    <w:rsid w:val="6DBE2296"/>
    <w:rsid w:val="6DE5358B"/>
    <w:rsid w:val="6E0C0CDD"/>
    <w:rsid w:val="6E2B03A0"/>
    <w:rsid w:val="6E417B0F"/>
    <w:rsid w:val="6E8C633A"/>
    <w:rsid w:val="6EF35A58"/>
    <w:rsid w:val="6F0A0609"/>
    <w:rsid w:val="6F3220BF"/>
    <w:rsid w:val="6F68294E"/>
    <w:rsid w:val="6FAB0C75"/>
    <w:rsid w:val="6FF921D7"/>
    <w:rsid w:val="70495E70"/>
    <w:rsid w:val="71536A74"/>
    <w:rsid w:val="717747A5"/>
    <w:rsid w:val="719240A4"/>
    <w:rsid w:val="71B36810"/>
    <w:rsid w:val="71B46FA8"/>
    <w:rsid w:val="71D101DE"/>
    <w:rsid w:val="71D42F66"/>
    <w:rsid w:val="72145463"/>
    <w:rsid w:val="729E0849"/>
    <w:rsid w:val="72B71616"/>
    <w:rsid w:val="72DC3A01"/>
    <w:rsid w:val="72F679A6"/>
    <w:rsid w:val="7328114D"/>
    <w:rsid w:val="73382E71"/>
    <w:rsid w:val="733B7004"/>
    <w:rsid w:val="735506DC"/>
    <w:rsid w:val="737B44AF"/>
    <w:rsid w:val="73EA0076"/>
    <w:rsid w:val="747A7209"/>
    <w:rsid w:val="74CA55B7"/>
    <w:rsid w:val="74D54024"/>
    <w:rsid w:val="750F1E29"/>
    <w:rsid w:val="756F5851"/>
    <w:rsid w:val="757A7299"/>
    <w:rsid w:val="759D6338"/>
    <w:rsid w:val="75FF3997"/>
    <w:rsid w:val="760107C6"/>
    <w:rsid w:val="765948F4"/>
    <w:rsid w:val="7703178B"/>
    <w:rsid w:val="77074463"/>
    <w:rsid w:val="77342E0E"/>
    <w:rsid w:val="77727B63"/>
    <w:rsid w:val="77887558"/>
    <w:rsid w:val="77B806A7"/>
    <w:rsid w:val="77FF37B4"/>
    <w:rsid w:val="78076495"/>
    <w:rsid w:val="78C91C61"/>
    <w:rsid w:val="791F2623"/>
    <w:rsid w:val="792238A2"/>
    <w:rsid w:val="79455872"/>
    <w:rsid w:val="79725185"/>
    <w:rsid w:val="79D679B6"/>
    <w:rsid w:val="79EF64FC"/>
    <w:rsid w:val="7A1333D5"/>
    <w:rsid w:val="7A351EA3"/>
    <w:rsid w:val="7AA120C6"/>
    <w:rsid w:val="7B5A0365"/>
    <w:rsid w:val="7BEB4860"/>
    <w:rsid w:val="7C0C7C7E"/>
    <w:rsid w:val="7CA54F27"/>
    <w:rsid w:val="7D425A09"/>
    <w:rsid w:val="7DAB2E88"/>
    <w:rsid w:val="7E2168B1"/>
    <w:rsid w:val="7E3F6C1C"/>
    <w:rsid w:val="7E81564F"/>
    <w:rsid w:val="7EDF184D"/>
    <w:rsid w:val="7EFB5ADB"/>
    <w:rsid w:val="7F002B01"/>
    <w:rsid w:val="7F612323"/>
    <w:rsid w:val="7FF6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FollowedHyperlink"/>
    <w:basedOn w:val="6"/>
    <w:semiHidden/>
    <w:unhideWhenUsed/>
    <w:qFormat/>
    <w:uiPriority w:val="99"/>
    <w:rPr>
      <w:color w:val="2490F8"/>
      <w:u w:val="single"/>
    </w:rPr>
  </w:style>
  <w:style w:type="character" w:styleId="8">
    <w:name w:val="HTML Definition"/>
    <w:basedOn w:val="6"/>
    <w:semiHidden/>
    <w:unhideWhenUsed/>
    <w:qFormat/>
    <w:uiPriority w:val="99"/>
  </w:style>
  <w:style w:type="character" w:styleId="9">
    <w:name w:val="HTML Variable"/>
    <w:basedOn w:val="6"/>
    <w:semiHidden/>
    <w:unhideWhenUsed/>
    <w:qFormat/>
    <w:uiPriority w:val="99"/>
  </w:style>
  <w:style w:type="character" w:styleId="10">
    <w:name w:val="Hyperlink"/>
    <w:basedOn w:val="6"/>
    <w:semiHidden/>
    <w:unhideWhenUsed/>
    <w:qFormat/>
    <w:uiPriority w:val="99"/>
    <w:rPr>
      <w:color w:val="2490F8"/>
      <w:u w:val="single"/>
    </w:rPr>
  </w:style>
  <w:style w:type="character" w:styleId="11">
    <w:name w:val="HTML Code"/>
    <w:basedOn w:val="6"/>
    <w:semiHidden/>
    <w:unhideWhenUsed/>
    <w:qFormat/>
    <w:uiPriority w:val="99"/>
    <w:rPr>
      <w:rFonts w:ascii="Courier New" w:hAnsi="Courier New"/>
      <w:sz w:val="20"/>
    </w:rPr>
  </w:style>
  <w:style w:type="character" w:styleId="12">
    <w:name w:val="HTML Cite"/>
    <w:basedOn w:val="6"/>
    <w:semiHidden/>
    <w:unhideWhenUsed/>
    <w:qFormat/>
    <w:uiPriority w:val="99"/>
  </w:style>
  <w:style w:type="character" w:customStyle="1" w:styleId="13">
    <w:name w:val="页眉 Char"/>
    <w:basedOn w:val="6"/>
    <w:link w:val="3"/>
    <w:semiHidden/>
    <w:qFormat/>
    <w:uiPriority w:val="99"/>
    <w:rPr>
      <w:rFonts w:ascii="Tahoma" w:hAnsi="Tahoma"/>
      <w:sz w:val="18"/>
      <w:szCs w:val="18"/>
    </w:rPr>
  </w:style>
  <w:style w:type="character" w:customStyle="1" w:styleId="14">
    <w:name w:val="页脚 Char"/>
    <w:basedOn w:val="6"/>
    <w:link w:val="2"/>
    <w:semiHidden/>
    <w:qFormat/>
    <w:uiPriority w:val="99"/>
    <w:rPr>
      <w:rFonts w:ascii="Tahoma" w:hAnsi="Tahoma"/>
      <w:sz w:val="18"/>
      <w:szCs w:val="18"/>
    </w:rPr>
  </w:style>
  <w:style w:type="character" w:customStyle="1" w:styleId="15">
    <w:name w:val="first-child"/>
    <w:basedOn w:val="6"/>
    <w:qFormat/>
    <w:uiPriority w:val="0"/>
  </w:style>
  <w:style w:type="character" w:customStyle="1" w:styleId="16">
    <w:name w:val="cy"/>
    <w:basedOn w:val="6"/>
    <w:qFormat/>
    <w:uiPriority w:val="0"/>
  </w:style>
  <w:style w:type="character" w:customStyle="1" w:styleId="17">
    <w:name w:val="pagechatarealistclose_box"/>
    <w:basedOn w:val="6"/>
    <w:qFormat/>
    <w:uiPriority w:val="0"/>
  </w:style>
  <w:style w:type="character" w:customStyle="1" w:styleId="18">
    <w:name w:val="pagechatarealistclose_box1"/>
    <w:basedOn w:val="6"/>
    <w:qFormat/>
    <w:uiPriority w:val="0"/>
  </w:style>
  <w:style w:type="character" w:customStyle="1" w:styleId="19">
    <w:name w:val="ico1654"/>
    <w:basedOn w:val="6"/>
    <w:qFormat/>
    <w:uiPriority w:val="0"/>
  </w:style>
  <w:style w:type="character" w:customStyle="1" w:styleId="20">
    <w:name w:val="ico1655"/>
    <w:basedOn w:val="6"/>
    <w:qFormat/>
    <w:uiPriority w:val="0"/>
  </w:style>
  <w:style w:type="character" w:customStyle="1" w:styleId="21">
    <w:name w:val="layui-layer-tabnow"/>
    <w:basedOn w:val="6"/>
    <w:qFormat/>
    <w:uiPriority w:val="0"/>
    <w:rPr>
      <w:bdr w:val="single" w:color="CCCCCC" w:sz="6" w:space="0"/>
      <w:shd w:val="clear" w:fill="FFFFFF"/>
    </w:rPr>
  </w:style>
  <w:style w:type="character" w:customStyle="1" w:styleId="22">
    <w:name w:val="tmpztreemove_arrow"/>
    <w:basedOn w:val="6"/>
    <w:qFormat/>
    <w:uiPriority w:val="0"/>
  </w:style>
  <w:style w:type="character" w:customStyle="1" w:styleId="23">
    <w:name w:val="after"/>
    <w:basedOn w:val="6"/>
    <w:qFormat/>
    <w:uiPriority w:val="0"/>
    <w:rPr>
      <w:sz w:val="0"/>
      <w:szCs w:val="0"/>
    </w:rPr>
  </w:style>
  <w:style w:type="character" w:customStyle="1" w:styleId="24">
    <w:name w:val="active4"/>
    <w:basedOn w:val="6"/>
    <w:qFormat/>
    <w:uiPriority w:val="0"/>
    <w:rPr>
      <w:color w:val="00FF00"/>
      <w:shd w:val="clear" w:fill="111111"/>
    </w:rPr>
  </w:style>
  <w:style w:type="character" w:customStyle="1" w:styleId="25">
    <w:name w:val="active5"/>
    <w:basedOn w:val="6"/>
    <w:qFormat/>
    <w:uiPriority w:val="0"/>
    <w:rPr>
      <w:shd w:val="clear" w:fill="EC3535"/>
    </w:rPr>
  </w:style>
  <w:style w:type="character" w:customStyle="1" w:styleId="26">
    <w:name w:val="icontext1"/>
    <w:basedOn w:val="6"/>
    <w:qFormat/>
    <w:uiPriority w:val="0"/>
  </w:style>
  <w:style w:type="character" w:customStyle="1" w:styleId="27">
    <w:name w:val="icontext11"/>
    <w:basedOn w:val="6"/>
    <w:qFormat/>
    <w:uiPriority w:val="0"/>
  </w:style>
  <w:style w:type="character" w:customStyle="1" w:styleId="28">
    <w:name w:val="icontext12"/>
    <w:basedOn w:val="6"/>
    <w:qFormat/>
    <w:uiPriority w:val="0"/>
  </w:style>
  <w:style w:type="character" w:customStyle="1" w:styleId="29">
    <w:name w:val="associateddata"/>
    <w:basedOn w:val="6"/>
    <w:qFormat/>
    <w:uiPriority w:val="0"/>
    <w:rPr>
      <w:shd w:val="clear" w:fill="50A6F9"/>
    </w:rPr>
  </w:style>
  <w:style w:type="character" w:customStyle="1" w:styleId="30">
    <w:name w:val="cdropright"/>
    <w:basedOn w:val="6"/>
    <w:qFormat/>
    <w:uiPriority w:val="0"/>
  </w:style>
  <w:style w:type="character" w:customStyle="1" w:styleId="31">
    <w:name w:val="drapbtn"/>
    <w:basedOn w:val="6"/>
    <w:qFormat/>
    <w:uiPriority w:val="0"/>
  </w:style>
  <w:style w:type="character" w:customStyle="1" w:styleId="32">
    <w:name w:val="cdropleft"/>
    <w:basedOn w:val="6"/>
    <w:qFormat/>
    <w:uiPriority w:val="0"/>
  </w:style>
  <w:style w:type="character" w:customStyle="1" w:styleId="33">
    <w:name w:val="iconline2"/>
    <w:basedOn w:val="6"/>
    <w:qFormat/>
    <w:uiPriority w:val="0"/>
  </w:style>
  <w:style w:type="character" w:customStyle="1" w:styleId="34">
    <w:name w:val="iconline21"/>
    <w:basedOn w:val="6"/>
    <w:qFormat/>
    <w:uiPriority w:val="0"/>
  </w:style>
  <w:style w:type="character" w:customStyle="1" w:styleId="35">
    <w:name w:val="icontext2"/>
    <w:basedOn w:val="6"/>
    <w:qFormat/>
    <w:uiPriority w:val="0"/>
  </w:style>
  <w:style w:type="character" w:customStyle="1" w:styleId="36">
    <w:name w:val="icontext3"/>
    <w:basedOn w:val="6"/>
    <w:qFormat/>
    <w:uiPriority w:val="0"/>
  </w:style>
  <w:style w:type="character" w:customStyle="1" w:styleId="37">
    <w:name w:val="hilite6"/>
    <w:basedOn w:val="6"/>
    <w:qFormat/>
    <w:uiPriority w:val="0"/>
    <w:rPr>
      <w:color w:val="FFFFFF"/>
      <w:shd w:val="clear" w:fill="666666"/>
    </w:rPr>
  </w:style>
  <w:style w:type="character" w:customStyle="1" w:styleId="38">
    <w:name w:val="button4"/>
    <w:basedOn w:val="6"/>
    <w:qFormat/>
    <w:uiPriority w:val="0"/>
  </w:style>
  <w:style w:type="character" w:customStyle="1" w:styleId="39">
    <w:name w:val="w32"/>
    <w:basedOn w:val="6"/>
    <w:qFormat/>
    <w:uiPriority w:val="0"/>
  </w:style>
  <w:style w:type="character" w:customStyle="1" w:styleId="40">
    <w:name w:val="active6"/>
    <w:basedOn w:val="6"/>
    <w:qFormat/>
    <w:uiPriority w:val="0"/>
    <w:rPr>
      <w:color w:val="00FF00"/>
      <w:shd w:val="clear" w:fill="111111"/>
    </w:rPr>
  </w:style>
  <w:style w:type="character" w:customStyle="1" w:styleId="41">
    <w:name w:val="button"/>
    <w:basedOn w:val="6"/>
    <w:qFormat/>
    <w:uiPriority w:val="0"/>
  </w:style>
  <w:style w:type="character" w:customStyle="1" w:styleId="42">
    <w:name w:val="hilite"/>
    <w:basedOn w:val="6"/>
    <w:qFormat/>
    <w:uiPriority w:val="0"/>
    <w:rPr>
      <w:color w:val="FFFFFF"/>
      <w:shd w:val="clear" w:fill="666666"/>
    </w:rPr>
  </w:style>
  <w:style w:type="character" w:customStyle="1" w:styleId="43">
    <w:name w:val="active2"/>
    <w:basedOn w:val="6"/>
    <w:qFormat/>
    <w:uiPriority w:val="0"/>
    <w:rPr>
      <w:shd w:val="clear" w:fill="EC3535"/>
    </w:rPr>
  </w:style>
  <w:style w:type="character" w:customStyle="1" w:styleId="44">
    <w:name w:val="active3"/>
    <w:basedOn w:val="6"/>
    <w:qFormat/>
    <w:uiPriority w:val="0"/>
    <w:rPr>
      <w:color w:val="00FF00"/>
      <w:shd w:val="clear" w:fill="111111"/>
    </w:rPr>
  </w:style>
  <w:style w:type="character" w:customStyle="1" w:styleId="45">
    <w:name w:val="active7"/>
    <w:basedOn w:val="6"/>
    <w:qFormat/>
    <w:uiPriority w:val="0"/>
    <w:rPr>
      <w:shd w:val="clear" w:fill="EC3535"/>
    </w:rPr>
  </w:style>
  <w:style w:type="character" w:customStyle="1" w:styleId="46">
    <w:name w:val="ico1652"/>
    <w:basedOn w:val="6"/>
    <w:qFormat/>
    <w:uiPriority w:val="0"/>
  </w:style>
  <w:style w:type="character" w:customStyle="1" w:styleId="47">
    <w:name w:val="ico1653"/>
    <w:basedOn w:val="6"/>
    <w:qFormat/>
    <w:uiPriority w:val="0"/>
  </w:style>
  <w:style w:type="character" w:customStyle="1" w:styleId="48">
    <w:name w:val="active"/>
    <w:basedOn w:val="6"/>
    <w:qFormat/>
    <w:uiPriority w:val="0"/>
    <w:rPr>
      <w:color w:val="00FF00"/>
      <w:shd w:val="clear" w:fill="111111"/>
    </w:rPr>
  </w:style>
  <w:style w:type="character" w:customStyle="1" w:styleId="49">
    <w:name w:val="active1"/>
    <w:basedOn w:val="6"/>
    <w:qFormat/>
    <w:uiPriority w:val="0"/>
    <w:rPr>
      <w:shd w:val="clear" w:fill="EC3535"/>
    </w:rPr>
  </w:style>
  <w:style w:type="character" w:customStyle="1" w:styleId="50">
    <w:name w:val="active8"/>
    <w:basedOn w:val="6"/>
    <w:qFormat/>
    <w:uiPriority w:val="0"/>
    <w:rPr>
      <w:shd w:val="clear" w:fill="EC3535"/>
    </w:rPr>
  </w:style>
  <w:style w:type="character" w:customStyle="1" w:styleId="51">
    <w:name w:val="ico16"/>
    <w:basedOn w:val="6"/>
    <w:qFormat/>
    <w:uiPriority w:val="0"/>
  </w:style>
  <w:style w:type="character" w:customStyle="1" w:styleId="52">
    <w:name w:val="ico161"/>
    <w:basedOn w:val="6"/>
    <w:qFormat/>
    <w:uiPriority w:val="0"/>
  </w:style>
  <w:style w:type="character" w:customStyle="1" w:styleId="53">
    <w:name w:val="hilite4"/>
    <w:basedOn w:val="6"/>
    <w:qFormat/>
    <w:uiPriority w:val="0"/>
    <w:rPr>
      <w:color w:val="FFFFFF"/>
      <w:shd w:val="clear" w:fill="666666"/>
    </w:rPr>
  </w:style>
  <w:style w:type="character" w:customStyle="1" w:styleId="54">
    <w:name w:val="choosename"/>
    <w:basedOn w:val="6"/>
    <w:qFormat/>
    <w:uiPriority w:val="0"/>
  </w:style>
  <w:style w:type="character" w:customStyle="1" w:styleId="55">
    <w:name w:val="hover34"/>
    <w:basedOn w:val="6"/>
    <w:qFormat/>
    <w:uiPriority w:val="0"/>
    <w:rPr>
      <w:color w:val="FFFFFF"/>
    </w:rPr>
  </w:style>
  <w:style w:type="character" w:customStyle="1" w:styleId="56">
    <w:name w:val="biggerthanmax"/>
    <w:basedOn w:val="6"/>
    <w:qFormat/>
    <w:uiPriority w:val="0"/>
    <w:rPr>
      <w:shd w:val="clear" w:fill="FFFF00"/>
    </w:rPr>
  </w:style>
  <w:style w:type="character" w:customStyle="1" w:styleId="57">
    <w:name w:val="xdrichtextbox2"/>
    <w:basedOn w:val="6"/>
    <w:qFormat/>
    <w:uiPriority w:val="0"/>
  </w:style>
  <w:style w:type="character" w:customStyle="1" w:styleId="58">
    <w:name w:val="design_class"/>
    <w:basedOn w:val="6"/>
    <w:qFormat/>
    <w:uiPriority w:val="0"/>
  </w:style>
  <w:style w:type="character" w:customStyle="1" w:styleId="59">
    <w:name w:val="edit_class"/>
    <w:basedOn w:val="6"/>
    <w:qFormat/>
    <w:uiPriority w:val="0"/>
  </w:style>
  <w:style w:type="character" w:customStyle="1" w:styleId="60">
    <w:name w:val="hover31"/>
    <w:basedOn w:val="6"/>
    <w:qFormat/>
    <w:uiPriority w:val="0"/>
    <w:rPr>
      <w:color w:val="FFFFFF"/>
    </w:rPr>
  </w:style>
  <w:style w:type="character" w:customStyle="1" w:styleId="61">
    <w:name w:val="ico1651"/>
    <w:basedOn w:val="6"/>
    <w:qFormat/>
    <w:uiPriority w:val="0"/>
  </w:style>
  <w:style w:type="character" w:customStyle="1" w:styleId="62">
    <w:name w:val="hilite5"/>
    <w:basedOn w:val="6"/>
    <w:qFormat/>
    <w:uiPriority w:val="0"/>
    <w:rPr>
      <w:color w:val="FFFFFF"/>
      <w:shd w:val="clear" w:fill="666666"/>
    </w:rPr>
  </w:style>
  <w:style w:type="character" w:customStyle="1" w:styleId="63">
    <w:name w:val="ico1650"/>
    <w:basedOn w:val="6"/>
    <w:qFormat/>
    <w:uiPriority w:val="0"/>
  </w:style>
  <w:style w:type="character" w:customStyle="1" w:styleId="64">
    <w:name w:val="button3"/>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1496</Words>
  <Characters>1502</Characters>
  <Lines>1</Lines>
  <Paragraphs>1</Paragraphs>
  <TotalTime>4</TotalTime>
  <ScaleCrop>false</ScaleCrop>
  <LinksUpToDate>false</LinksUpToDate>
  <CharactersWithSpaces>1513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2019-12-25T00:36:00Z</dcterms:created>
  <dc:creator>Administrator</dc:creator>
  <cp:lastModifiedBy>翟建康</cp:lastModifiedBy>
  <cp:lastPrinted>2021-06-30T09:47:00Z</cp:lastPrinted>
  <dcterms:modified xsi:type="dcterms:W3CDTF">2025-02-06T02:13:36Z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eyJoZGlkIjoiMjBmYThhMzJkMTU4MDlmZWY2NzU4MjU3NjI3NzdlNjEiLCJ1c2VySWQiOiI1ODkwOTg5OTAifQ==</vt:lpwstr>
  </property>
  <property fmtid="{D5CDD505-2E9C-101B-9397-08002B2CF9AE}" pid="4" name="ICV">
    <vt:lpwstr>32109A7C861747DF961A4609026E7C34_12</vt:lpwstr>
  </property>
</Properties>
</file>